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B41E" w14:textId="77777777" w:rsidR="00091FFA" w:rsidRDefault="00000000">
      <w:pPr>
        <w:spacing w:after="240"/>
        <w:jc w:val="center"/>
      </w:pPr>
      <w:r>
        <w:rPr>
          <w:rFonts w:ascii="Times New Roman" w:hAnsi="Times New Roman"/>
          <w:b/>
          <w:color w:val="000000"/>
          <w:sz w:val="36"/>
        </w:rPr>
        <w:t>Experiment No. 5</w:t>
      </w:r>
    </w:p>
    <w:p w14:paraId="5DF0C700" w14:textId="77777777" w:rsidR="00091FFA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2"/>
        </w:rPr>
        <w:t>Aim</w:t>
      </w:r>
    </w:p>
    <w:p w14:paraId="790F3E9C" w14:textId="0FF9AA39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 xml:space="preserve">To apply explainable AI methods (SHAP and LIME) to interpret model predictions and evaluate algorithmic fairness using </w:t>
      </w:r>
      <w:proofErr w:type="spellStart"/>
      <w:r>
        <w:rPr>
          <w:rFonts w:ascii="Times New Roman" w:hAnsi="Times New Roman"/>
          <w:color w:val="000000"/>
          <w:sz w:val="24"/>
        </w:rPr>
        <w:t>Fairlearn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8E1F14A" w14:textId="77777777" w:rsidR="00091FFA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2"/>
        </w:rPr>
        <w:t>Objective</w:t>
      </w:r>
    </w:p>
    <w:p w14:paraId="6EF27F38" w14:textId="3FD889F1" w:rsidR="00091FFA" w:rsidRPr="003F0F26" w:rsidRDefault="00000000" w:rsidP="003F0F26">
      <w:pPr>
        <w:spacing w:after="80"/>
        <w:ind w:left="36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Generate global feature importance explanations using SHAP.</w:t>
      </w:r>
    </w:p>
    <w:p w14:paraId="6807714A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Generate local instance-level prediction explanations using LIME.</w:t>
      </w:r>
    </w:p>
    <w:p w14:paraId="00921E18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 xml:space="preserve">- Audit algorithmic bias across sensitive asset risk tiers using </w:t>
      </w:r>
      <w:proofErr w:type="spellStart"/>
      <w:r>
        <w:rPr>
          <w:rFonts w:ascii="Times New Roman" w:hAnsi="Times New Roman"/>
          <w:color w:val="000000"/>
          <w:sz w:val="24"/>
        </w:rPr>
        <w:t>Fairlearn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1A008E6" w14:textId="71118A07" w:rsidR="00091FFA" w:rsidRDefault="00000000" w:rsidP="00CB0956">
      <w:pPr>
        <w:spacing w:after="80"/>
        <w:ind w:left="36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Implement post-processing threshold optimization to mitigate identified bias</w:t>
      </w:r>
    </w:p>
    <w:p w14:paraId="3379D54E" w14:textId="36E8EB45" w:rsidR="00CB0956" w:rsidRPr="00CB0956" w:rsidRDefault="00CB0956" w:rsidP="00CB0956">
      <w:pPr>
        <w:spacing w:after="80"/>
        <w:jc w:val="both"/>
        <w:rPr>
          <w:b/>
          <w:bCs/>
          <w:sz w:val="32"/>
          <w:szCs w:val="32"/>
        </w:rPr>
      </w:pPr>
      <w:r w:rsidRPr="00CB0956">
        <w:rPr>
          <w:rFonts w:ascii="Times New Roman" w:hAnsi="Times New Roman"/>
          <w:b/>
          <w:bCs/>
          <w:color w:val="000000"/>
          <w:sz w:val="32"/>
          <w:szCs w:val="32"/>
        </w:rPr>
        <w:t>Steps</w:t>
      </w:r>
    </w:p>
    <w:p w14:paraId="43821B4F" w14:textId="77777777" w:rsidR="00091FFA" w:rsidRDefault="00000000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8"/>
        </w:rPr>
        <w:t>1. Dataset &amp; Model Selection</w:t>
      </w:r>
    </w:p>
    <w:p w14:paraId="715E7648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Dataset Scope: 29,310 records across 42 constituent stocks with 16 continuous technical features.</w:t>
      </w:r>
    </w:p>
    <w:p w14:paraId="4FECA2BD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Target Variable: Direction binary label indicating upward price movement (50.90% Up) or downward/flat movement (49.10% Down).</w:t>
      </w:r>
    </w:p>
    <w:p w14:paraId="442C0CCB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Data Split: 80% chronological training set (23,432 records) and 20% testing set (5,878 records) using June 25, 2020 as the cutoff date.</w:t>
      </w:r>
    </w:p>
    <w:p w14:paraId="68F3A34E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Sensitive Attribute: Risk Category, segmenting assets into High, Medium, and Low risk groups for fairness assessment.</w:t>
      </w:r>
    </w:p>
    <w:p w14:paraId="65CCE630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Subject Model: Gradient Boosting Classifier trained on the training partition to serve as the evaluation baseline.</w:t>
      </w:r>
    </w:p>
    <w:p w14:paraId="00A7AD23" w14:textId="77777777" w:rsidR="00091FFA" w:rsidRDefault="00000000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8"/>
        </w:rPr>
        <w:t>2. Explainability with SHAP</w:t>
      </w:r>
    </w:p>
    <w:p w14:paraId="3BA9C832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 xml:space="preserve">- Method: Applied </w:t>
      </w:r>
      <w:proofErr w:type="spellStart"/>
      <w:r>
        <w:rPr>
          <w:rFonts w:ascii="Times New Roman" w:hAnsi="Times New Roman"/>
          <w:color w:val="000000"/>
          <w:sz w:val="24"/>
        </w:rPr>
        <w:t>TreeExplainer</w:t>
      </w:r>
      <w:proofErr w:type="spellEnd"/>
      <w:r>
        <w:rPr>
          <w:rFonts w:ascii="Times New Roman" w:hAnsi="Times New Roman"/>
          <w:color w:val="000000"/>
          <w:sz w:val="24"/>
        </w:rPr>
        <w:t xml:space="preserve"> based on Shapley values to calculate feature attributions.</w:t>
      </w:r>
    </w:p>
    <w:p w14:paraId="7B71EDA5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Global Importance: Daily Return, Return Lag 1, Low price, Relative Strength Index, and Return Lag 5 were identified as the top global drivers.</w:t>
      </w:r>
    </w:p>
    <w:p w14:paraId="5CB6C32F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Beeswarm</w:t>
      </w:r>
      <w:proofErr w:type="spellEnd"/>
      <w:r>
        <w:rPr>
          <w:rFonts w:ascii="Times New Roman" w:hAnsi="Times New Roman"/>
          <w:color w:val="000000"/>
          <w:sz w:val="24"/>
        </w:rPr>
        <w:t xml:space="preserve"> Analysis: Positive short-term returns and higher RSI values consistently pushed predictions upward, while negative return lags and high volatility pushed predictions downward.</w:t>
      </w:r>
    </w:p>
    <w:p w14:paraId="6A6ABFCF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Dependence Plot: Confirmed non-linear saturation thresholds where momentum indicators transition from neutral to directional signals.</w:t>
      </w:r>
    </w:p>
    <w:p w14:paraId="1C4D4AF5" w14:textId="77777777" w:rsidR="00091FFA" w:rsidRDefault="00000000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8"/>
        </w:rPr>
        <w:lastRenderedPageBreak/>
        <w:t>3. Explainability with LIME</w:t>
      </w:r>
    </w:p>
    <w:p w14:paraId="5C415BEA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 xml:space="preserve">- Method: Applied </w:t>
      </w:r>
      <w:proofErr w:type="spellStart"/>
      <w:r>
        <w:rPr>
          <w:rFonts w:ascii="Times New Roman" w:hAnsi="Times New Roman"/>
          <w:color w:val="000000"/>
          <w:sz w:val="24"/>
        </w:rPr>
        <w:t>LimeTabularExplainer</w:t>
      </w:r>
      <w:proofErr w:type="spellEnd"/>
      <w:r>
        <w:rPr>
          <w:rFonts w:ascii="Times New Roman" w:hAnsi="Times New Roman"/>
          <w:color w:val="000000"/>
          <w:sz w:val="24"/>
        </w:rPr>
        <w:t xml:space="preserve"> to fit sparse linear surrogate models around individual trading predictions.</w:t>
      </w:r>
    </w:p>
    <w:p w14:paraId="527001B7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Bullish Instance: For a sample predicted Up, positive daily return and low moving average divergence were the primary positive contributors.</w:t>
      </w:r>
    </w:p>
    <w:p w14:paraId="2DFE9DED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Bearish Instance: For a sample predicted Down, negative return lags and elevated volatility were the primary negative contributors.</w:t>
      </w:r>
    </w:p>
    <w:p w14:paraId="1BFD5BC6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Validation: Verified that local instance decisions follow consistent, intuitive financial logic.</w:t>
      </w:r>
    </w:p>
    <w:p w14:paraId="61B68A21" w14:textId="77777777" w:rsidR="00091FFA" w:rsidRDefault="00000000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8"/>
        </w:rPr>
        <w:t xml:space="preserve">4. Fairness Audit with </w:t>
      </w:r>
      <w:proofErr w:type="spellStart"/>
      <w:r>
        <w:rPr>
          <w:rFonts w:ascii="Times New Roman" w:hAnsi="Times New Roman"/>
          <w:b/>
          <w:color w:val="000000"/>
          <w:sz w:val="28"/>
        </w:rPr>
        <w:t>Fairlearn</w:t>
      </w:r>
      <w:proofErr w:type="spellEnd"/>
    </w:p>
    <w:p w14:paraId="32DDED9B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 xml:space="preserve">- Evaluation: Used </w:t>
      </w:r>
      <w:proofErr w:type="spellStart"/>
      <w:r>
        <w:rPr>
          <w:rFonts w:ascii="Times New Roman" w:hAnsi="Times New Roman"/>
          <w:color w:val="000000"/>
          <w:sz w:val="24"/>
        </w:rPr>
        <w:t>MetricFrame</w:t>
      </w:r>
      <w:proofErr w:type="spellEnd"/>
      <w:r>
        <w:rPr>
          <w:rFonts w:ascii="Times New Roman" w:hAnsi="Times New Roman"/>
          <w:color w:val="000000"/>
          <w:sz w:val="24"/>
        </w:rPr>
        <w:t xml:space="preserve"> to audit selection rates, false positive rates, and accuracy across Risk Categories.</w:t>
      </w:r>
    </w:p>
    <w:p w14:paraId="06F11014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Demographic Parity Difference: Baseline disparity of 0.0512 was recorded between the most and least selected risk tiers.</w:t>
      </w:r>
    </w:p>
    <w:p w14:paraId="69028EA7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Equalized Odds Difference: Baseline disparity of 0.0486 was recorded in error rates across risk groups.</w:t>
      </w:r>
    </w:p>
    <w:p w14:paraId="22279022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Finding: The unmitigated model exhibited mild bias, assigning higher buy recommendation rates to higher-volatility stocks.</w:t>
      </w:r>
    </w:p>
    <w:p w14:paraId="62D13EAB" w14:textId="77777777" w:rsidR="00091FFA" w:rsidRDefault="00000000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8"/>
        </w:rPr>
        <w:t>5. Bias Mitigation</w:t>
      </w:r>
    </w:p>
    <w:p w14:paraId="105E098E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Intervention Level: Implemented post-processing Threshold Optimizer under equalized odds constraints.</w:t>
      </w:r>
    </w:p>
    <w:p w14:paraId="02A1417D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Implementation Detail: The original dataset and trained model weights were left completely untouched; only decision cutoff thresholds were customized per risk group.</w:t>
      </w:r>
    </w:p>
    <w:p w14:paraId="7F5A1506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High-Risk Adjustment: Threshold raised slightly to require stronger evidence before predicting an upward move.</w:t>
      </w:r>
    </w:p>
    <w:p w14:paraId="3DE5855D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Low-Risk Adjustment: Threshold lowered slightly to prevent conservative assets from being unfairly under-selected.</w:t>
      </w:r>
    </w:p>
    <w:p w14:paraId="293A06D8" w14:textId="77777777" w:rsidR="00091FFA" w:rsidRDefault="00000000">
      <w:pPr>
        <w:spacing w:after="80"/>
        <w:ind w:left="360"/>
        <w:jc w:val="both"/>
      </w:pPr>
      <w:r>
        <w:rPr>
          <w:rFonts w:ascii="Times New Roman" w:hAnsi="Times New Roman"/>
          <w:color w:val="000000"/>
          <w:sz w:val="24"/>
        </w:rPr>
        <w:t>- Result: Equalized odds difference decreased by 70.8% and demographic parity difference decreased by 57.4%, while overall accuracy remained preserved at 51.84%.</w:t>
      </w:r>
    </w:p>
    <w:p w14:paraId="32255FF1" w14:textId="77777777" w:rsidR="00091FFA" w:rsidRDefault="00000000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8"/>
        </w:rPr>
        <w:t>Comparative Fairness Analysis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</w:tblGrid>
      <w:tr w:rsidR="00091FFA" w14:paraId="4FDB793E" w14:textId="77777777">
        <w:trPr>
          <w:jc w:val="center"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E615D" w14:textId="77777777" w:rsidR="00091FFA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Evaluation Metric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0B33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Unmitigated Model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C51E8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Mitigated Model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1BD4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Fairness Status</w:t>
            </w:r>
          </w:p>
        </w:tc>
      </w:tr>
      <w:tr w:rsidR="00091FFA" w14:paraId="32BF3688" w14:textId="77777777">
        <w:trPr>
          <w:jc w:val="center"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2893" w14:textId="77777777" w:rsidR="00091FFA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Model Accuracy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C5C34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52.06%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A17B3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51.84%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BFB94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Preserved Utility</w:t>
            </w:r>
          </w:p>
        </w:tc>
      </w:tr>
      <w:tr w:rsidR="00091FFA" w14:paraId="746F13BE" w14:textId="77777777">
        <w:trPr>
          <w:jc w:val="center"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CA1B" w14:textId="77777777" w:rsidR="00091FFA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Demographic Parity Difference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571AF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0.0512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7146C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0.0218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768E0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57.4% Reduction</w:t>
            </w:r>
          </w:p>
        </w:tc>
      </w:tr>
      <w:tr w:rsidR="00091FFA" w14:paraId="571F9E9F" w14:textId="77777777">
        <w:trPr>
          <w:jc w:val="center"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54CF8" w14:textId="77777777" w:rsidR="00091FFA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lastRenderedPageBreak/>
              <w:t>Equalized Odds Difference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6A421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0.0486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35E41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0.0142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3BC68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70.8% Reduction</w:t>
            </w:r>
          </w:p>
        </w:tc>
      </w:tr>
      <w:tr w:rsidR="00091FFA" w14:paraId="228D1A58" w14:textId="77777777">
        <w:trPr>
          <w:jc w:val="center"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5267B" w14:textId="77777777" w:rsidR="00091FFA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High-Risk Selection Rate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22C08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0.5482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FDF62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0.5186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9A073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Parity Aligned</w:t>
            </w:r>
          </w:p>
        </w:tc>
      </w:tr>
      <w:tr w:rsidR="00091FFA" w14:paraId="2B739557" w14:textId="77777777">
        <w:trPr>
          <w:jc w:val="center"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86F26" w14:textId="77777777" w:rsidR="00091FFA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Low-Risk Selection Rate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CBBBB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0.4970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AADE1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0.5094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D6C62" w14:textId="77777777" w:rsidR="00091FF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Parity Aligned</w:t>
            </w:r>
          </w:p>
        </w:tc>
      </w:tr>
    </w:tbl>
    <w:p w14:paraId="0C34E4C1" w14:textId="77777777" w:rsidR="00091FFA" w:rsidRDefault="00091FFA">
      <w:pPr>
        <w:spacing w:before="120" w:after="0"/>
      </w:pPr>
    </w:p>
    <w:p w14:paraId="643871CA" w14:textId="77777777" w:rsidR="00091FFA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2"/>
        </w:rPr>
        <w:t>Conclusion</w:t>
      </w:r>
    </w:p>
    <w:p w14:paraId="64723CA1" w14:textId="77777777" w:rsidR="00091FFA" w:rsidRDefault="00000000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 xml:space="preserve">The experiment successfully established model explainability and fairness auditing for stock direction prediction. Global SHAP analysis identified short-term momentum as the primary market driver, while LIME provided local transparency for individual trade predictions. </w:t>
      </w:r>
      <w:proofErr w:type="spellStart"/>
      <w:r>
        <w:rPr>
          <w:rFonts w:ascii="Times New Roman" w:hAnsi="Times New Roman"/>
          <w:color w:val="000000"/>
          <w:sz w:val="24"/>
        </w:rPr>
        <w:t>Fairlearn</w:t>
      </w:r>
      <w:proofErr w:type="spellEnd"/>
      <w:r>
        <w:rPr>
          <w:rFonts w:ascii="Times New Roman" w:hAnsi="Times New Roman"/>
          <w:color w:val="000000"/>
          <w:sz w:val="24"/>
        </w:rPr>
        <w:t xml:space="preserve"> detected baseline selection and error disparities across asset risk tiers, which were effectively neutralized using post-processing threshold adjustments without modifying the underlying model. The final architecture ensures regulatory compliance and fair decision-making across all market segments while preserving predictive accuracy.</w:t>
      </w:r>
    </w:p>
    <w:sectPr w:rsidR="00091F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184258">
    <w:abstractNumId w:val="8"/>
  </w:num>
  <w:num w:numId="2" w16cid:durableId="248582367">
    <w:abstractNumId w:val="6"/>
  </w:num>
  <w:num w:numId="3" w16cid:durableId="454982168">
    <w:abstractNumId w:val="5"/>
  </w:num>
  <w:num w:numId="4" w16cid:durableId="382950212">
    <w:abstractNumId w:val="4"/>
  </w:num>
  <w:num w:numId="5" w16cid:durableId="231083515">
    <w:abstractNumId w:val="7"/>
  </w:num>
  <w:num w:numId="6" w16cid:durableId="1848933883">
    <w:abstractNumId w:val="3"/>
  </w:num>
  <w:num w:numId="7" w16cid:durableId="543251017">
    <w:abstractNumId w:val="2"/>
  </w:num>
  <w:num w:numId="8" w16cid:durableId="1945108849">
    <w:abstractNumId w:val="1"/>
  </w:num>
  <w:num w:numId="9" w16cid:durableId="209069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FA"/>
    <w:rsid w:val="000C1CC1"/>
    <w:rsid w:val="0015074B"/>
    <w:rsid w:val="0029639D"/>
    <w:rsid w:val="00326F90"/>
    <w:rsid w:val="003F0F26"/>
    <w:rsid w:val="00AA1D8D"/>
    <w:rsid w:val="00B03D57"/>
    <w:rsid w:val="00B21593"/>
    <w:rsid w:val="00B47730"/>
    <w:rsid w:val="00B614B2"/>
    <w:rsid w:val="00BA752E"/>
    <w:rsid w:val="00CB0664"/>
    <w:rsid w:val="00CB0956"/>
    <w:rsid w:val="00E56FDF"/>
    <w:rsid w:val="00F52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D961E"/>
  <w14:defaultImageDpi w14:val="300"/>
  <w15:docId w15:val="{4F1DE425-5BBB-448E-9695-5FAB0528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premnathan Nair</cp:lastModifiedBy>
  <cp:revision>4</cp:revision>
  <dcterms:created xsi:type="dcterms:W3CDTF">2013-12-23T23:15:00Z</dcterms:created>
  <dcterms:modified xsi:type="dcterms:W3CDTF">2026-09-18T11:20:00Z</dcterms:modified>
  <cp:category/>
</cp:coreProperties>
</file>