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00000"/>
          <w:sz w:val="36"/>
        </w:rPr>
        <w:t>Experiment No. 6</w:t>
      </w:r>
    </w:p>
    <w:p>
      <w:pPr>
        <w:keepNext/>
        <w:spacing w:before="280" w:after="80"/>
        <w:jc w:val="left"/>
      </w:pPr>
      <w:r>
        <w:rPr>
          <w:rFonts w:ascii="Times New Roman" w:hAnsi="Times New Roman"/>
          <w:b/>
          <w:color w:val="000000"/>
          <w:sz w:val="32"/>
        </w:rPr>
        <w:t>Aim</w:t>
      </w:r>
    </w:p>
    <w:p>
      <w:pPr>
        <w:spacing w:line="276" w:lineRule="auto" w:before="0" w:after="80"/>
        <w:ind w:left="360"/>
        <w:jc w:val="both"/>
      </w:pPr>
      <w:r>
        <w:rPr>
          <w:rFonts w:ascii="Times New Roman" w:hAnsi="Times New Roman"/>
          <w:b w:val="0"/>
          <w:color w:val="000000"/>
          <w:sz w:val="24"/>
        </w:rPr>
        <w:t>- To containerize a trained machine learning model and deploy it as a high-performance RESTful API service using FastAPI and Docker for automated real-time inference.</w:t>
      </w:r>
    </w:p>
    <w:p>
      <w:pPr>
        <w:keepNext/>
        <w:spacing w:before="280" w:after="80"/>
        <w:jc w:val="left"/>
      </w:pPr>
      <w:r>
        <w:rPr>
          <w:rFonts w:ascii="Times New Roman" w:hAnsi="Times New Roman"/>
          <w:b/>
          <w:color w:val="000000"/>
          <w:sz w:val="32"/>
        </w:rPr>
        <w:t>Objective</w:t>
      </w:r>
    </w:p>
    <w:p>
      <w:pPr>
        <w:spacing w:line="276" w:lineRule="auto" w:before="0" w:after="80"/>
        <w:ind w:left="360"/>
        <w:jc w:val="both"/>
      </w:pPr>
      <w:r>
        <w:rPr>
          <w:rFonts w:ascii="Times New Roman" w:hAnsi="Times New Roman"/>
          <w:b w:val="0"/>
          <w:color w:val="000000"/>
          <w:sz w:val="24"/>
        </w:rPr>
        <w:t>- Package the trained stock price direction classification model into a secure, lightweight Docker container.</w:t>
      </w:r>
    </w:p>
    <w:p>
      <w:pPr>
        <w:spacing w:line="276" w:lineRule="auto" w:before="0" w:after="80"/>
        <w:ind w:left="360"/>
        <w:jc w:val="both"/>
      </w:pPr>
      <w:r>
        <w:rPr>
          <w:rFonts w:ascii="Times New Roman" w:hAnsi="Times New Roman"/>
          <w:b w:val="0"/>
          <w:color w:val="000000"/>
          <w:sz w:val="24"/>
        </w:rPr>
        <w:t>- Build robust, asynchronous RESTful API endpoints for single-instance and batch predictions using FastAPI.</w:t>
      </w:r>
    </w:p>
    <w:p>
      <w:pPr>
        <w:spacing w:line="276" w:lineRule="auto" w:before="0" w:after="80"/>
        <w:ind w:left="360"/>
        <w:jc w:val="both"/>
      </w:pPr>
      <w:r>
        <w:rPr>
          <w:rFonts w:ascii="Times New Roman" w:hAnsi="Times New Roman"/>
          <w:b w:val="0"/>
          <w:color w:val="000000"/>
          <w:sz w:val="24"/>
        </w:rPr>
        <w:t>- Implement automated input validation, boundary constraints, and error handling using Pydantic data schemas.</w:t>
      </w:r>
    </w:p>
    <w:p>
      <w:pPr>
        <w:spacing w:line="276" w:lineRule="auto" w:before="0" w:after="80"/>
        <w:ind w:left="360"/>
        <w:jc w:val="both"/>
      </w:pPr>
      <w:r>
        <w:rPr>
          <w:rFonts w:ascii="Times New Roman" w:hAnsi="Times New Roman"/>
          <w:b w:val="0"/>
          <w:color w:val="000000"/>
          <w:sz w:val="24"/>
        </w:rPr>
        <w:t>- Conduct comprehensive local API testing to verify operational health, prediction contracts, and negative validation responses.</w:t>
      </w:r>
    </w:p>
    <w:p>
      <w:pPr>
        <w:spacing w:line="276" w:lineRule="auto" w:before="0" w:after="80"/>
        <w:ind w:left="360"/>
        <w:jc w:val="both"/>
      </w:pPr>
      <w:r>
        <w:rPr>
          <w:rFonts w:ascii="Times New Roman" w:hAnsi="Times New Roman"/>
          <w:b w:val="0"/>
          <w:color w:val="000000"/>
          <w:sz w:val="24"/>
        </w:rPr>
        <w:t>- Document production containerization guidelines, resource allocation controls, and multi-stage build workflows.</w:t>
      </w:r>
    </w:p>
    <w:p>
      <w:pPr>
        <w:keepNext/>
        <w:spacing w:before="280" w:after="80"/>
        <w:jc w:val="left"/>
      </w:pPr>
      <w:r>
        <w:rPr>
          <w:rFonts w:ascii="Times New Roman" w:hAnsi="Times New Roman"/>
          <w:b/>
          <w:color w:val="000000"/>
          <w:sz w:val="32"/>
        </w:rPr>
        <w:t>Detailed Steps</w:t>
      </w:r>
    </w:p>
    <w:p>
      <w:pPr>
        <w:keepNext/>
        <w:spacing w:before="200" w:after="60"/>
        <w:jc w:val="left"/>
      </w:pPr>
      <w:r>
        <w:rPr>
          <w:rFonts w:ascii="Times New Roman" w:hAnsi="Times New Roman"/>
          <w:b/>
          <w:color w:val="000000"/>
          <w:sz w:val="28"/>
        </w:rPr>
        <w:t>1. REST API Architecture and Schema Design</w:t>
      </w:r>
    </w:p>
    <w:p>
      <w:pPr>
        <w:spacing w:line="276" w:lineRule="auto" w:before="0" w:after="80"/>
        <w:ind w:left="360"/>
        <w:jc w:val="both"/>
      </w:pPr>
      <w:r>
        <w:rPr>
          <w:rFonts w:ascii="Times New Roman" w:hAnsi="Times New Roman"/>
          <w:b w:val="0"/>
          <w:color w:val="000000"/>
          <w:sz w:val="24"/>
        </w:rPr>
        <w:t>- Application Framework: Built upon the modern asynchronous FastAPI framework, leveraging the Asynchronous Server Gateway Interface for high-concurrency request handling.</w:t>
      </w:r>
    </w:p>
    <w:p>
      <w:pPr>
        <w:spacing w:line="276" w:lineRule="auto" w:before="0" w:after="80"/>
        <w:ind w:left="360"/>
        <w:jc w:val="both"/>
      </w:pPr>
      <w:r>
        <w:rPr>
          <w:rFonts w:ascii="Times New Roman" w:hAnsi="Times New Roman"/>
          <w:b w:val="0"/>
          <w:color w:val="000000"/>
          <w:sz w:val="24"/>
        </w:rPr>
        <w:t>- Data Validation Layer: Implemented declarative Pydantic schemas enforcing strict type casting, presence validation, and boundary verification across all sixteen financial features.</w:t>
      </w:r>
    </w:p>
    <w:p>
      <w:pPr>
        <w:spacing w:line="276" w:lineRule="auto" w:before="0" w:after="80"/>
        <w:ind w:left="360"/>
        <w:jc w:val="both"/>
      </w:pPr>
      <w:r>
        <w:rPr>
          <w:rFonts w:ascii="Times New Roman" w:hAnsi="Times New Roman"/>
          <w:b w:val="0"/>
          <w:color w:val="000000"/>
          <w:sz w:val="24"/>
        </w:rPr>
        <w:t>- Liveness and Readiness Probe: Configured a dedicated health monitoring route that inspects application memory, verifies model artifact availability, and returns operational metadata.</w:t>
      </w:r>
    </w:p>
    <w:p>
      <w:pPr>
        <w:spacing w:line="276" w:lineRule="auto" w:before="0" w:after="80"/>
        <w:ind w:left="360"/>
        <w:jc w:val="both"/>
      </w:pPr>
      <w:r>
        <w:rPr>
          <w:rFonts w:ascii="Times New Roman" w:hAnsi="Times New Roman"/>
          <w:b w:val="0"/>
          <w:color w:val="000000"/>
          <w:sz w:val="24"/>
        </w:rPr>
        <w:t>- Real-Time Inference Route: Designed a core prediction endpoint that transforms inbound JSON payloads into feature vectors, executes model inference, and returns directional classifications with confidence probabilities.</w:t>
      </w:r>
    </w:p>
    <w:p>
      <w:pPr>
        <w:spacing w:line="276" w:lineRule="auto" w:before="0" w:after="80"/>
        <w:ind w:left="360"/>
        <w:jc w:val="both"/>
      </w:pPr>
      <w:r>
        <w:rPr>
          <w:rFonts w:ascii="Times New Roman" w:hAnsi="Times New Roman"/>
          <w:b w:val="0"/>
          <w:color w:val="000000"/>
          <w:sz w:val="24"/>
        </w:rPr>
        <w:t>- High-Throughput Batch Inference: Constructed an optimized bulk endpoint capable of evaluating entire portfolios of stock records in a single transactional payload.</w:t>
      </w:r>
    </w:p>
    <w:p>
      <w:pPr>
        <w:spacing w:line="276" w:lineRule="auto" w:before="0" w:after="80"/>
        <w:ind w:left="360"/>
        <w:jc w:val="both"/>
      </w:pPr>
      <w:r>
        <w:rPr>
          <w:rFonts w:ascii="Times New Roman" w:hAnsi="Times New Roman"/>
          <w:b w:val="0"/>
          <w:color w:val="000000"/>
          <w:sz w:val="24"/>
        </w:rPr>
        <w:t>- Negative Contract Validation: Designed automated validation mechanisms to reject malformed or incomplete payloads with standardized HTTP unprocessable entity status codes.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Endpoint Route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HTTP Method</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Payload Schema</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Status Code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Functional Purpose</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Health Status</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GET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Empty Body</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200 OK</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Verifies runtime health and model readiness</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Single Prediction</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Sixteen Feature Record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200 OK</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Returns directional label and confidence probability</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Batch Prediction</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List of Feature Records</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200 OK</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Performs bulk synchronous portfolio inference</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Schema Negative Test</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Truncated Feature Record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422 Error</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Rejects invalid payload and details missing fields</w:t>
            </w:r>
          </w:p>
        </w:tc>
      </w:tr>
    </w:tbl>
    <w:p>
      <w:pPr>
        <w:spacing w:before="80" w:after="80"/>
      </w:pPr>
    </w:p>
    <w:p>
      <w:pPr>
        <w:keepNext/>
        <w:spacing w:before="200" w:after="60"/>
        <w:jc w:val="left"/>
      </w:pPr>
      <w:r>
        <w:rPr>
          <w:rFonts w:ascii="Times New Roman" w:hAnsi="Times New Roman"/>
          <w:b/>
          <w:color w:val="000000"/>
          <w:sz w:val="28"/>
        </w:rPr>
        <w:t>2. Endpoint Verification and Contract Testing</w:t>
      </w:r>
    </w:p>
    <w:p>
      <w:pPr>
        <w:spacing w:line="276" w:lineRule="auto" w:before="0" w:after="80"/>
        <w:ind w:left="360"/>
        <w:jc w:val="both"/>
      </w:pPr>
      <w:r>
        <w:rPr>
          <w:rFonts w:ascii="Times New Roman" w:hAnsi="Times New Roman"/>
          <w:b w:val="0"/>
          <w:color w:val="000000"/>
          <w:sz w:val="24"/>
        </w:rPr>
        <w:t>- Service Liveness Verification: Executed automated queries against the health endpoint, confirming that the service reported a healthy status, recognized the decision tree classifier, and validated the presence of sixteen continuous features.</w:t>
      </w:r>
    </w:p>
    <w:p>
      <w:pPr>
        <w:spacing w:line="276" w:lineRule="auto" w:before="0" w:after="80"/>
        <w:ind w:left="360"/>
        <w:jc w:val="both"/>
      </w:pPr>
      <w:r>
        <w:rPr>
          <w:rFonts w:ascii="Times New Roman" w:hAnsi="Times New Roman"/>
          <w:b w:val="0"/>
          <w:color w:val="000000"/>
          <w:sz w:val="24"/>
        </w:rPr>
        <w:t>- Bullish Momentum Scenario: Transmitted a representative financial payload reflecting positive daily returns and moving average crossovers, confirming that the model assigned valid probability estimates and directional labels.</w:t>
      </w:r>
    </w:p>
    <w:p>
      <w:pPr>
        <w:spacing w:line="276" w:lineRule="auto" w:before="0" w:after="80"/>
        <w:ind w:left="360"/>
        <w:jc w:val="both"/>
      </w:pPr>
      <w:r>
        <w:rPr>
          <w:rFonts w:ascii="Times New Roman" w:hAnsi="Times New Roman"/>
          <w:b w:val="0"/>
          <w:color w:val="000000"/>
          <w:sz w:val="24"/>
        </w:rPr>
        <w:t>- Bearish Momentum Scenario: Evaluated an alternative financial payload characterized by elevated volatility and declining momentum indicators, successfully verifying correct inference processing.</w:t>
      </w:r>
    </w:p>
    <w:p>
      <w:pPr>
        <w:spacing w:line="276" w:lineRule="auto" w:before="0" w:after="80"/>
        <w:ind w:left="360"/>
        <w:jc w:val="both"/>
      </w:pPr>
      <w:r>
        <w:rPr>
          <w:rFonts w:ascii="Times New Roman" w:hAnsi="Times New Roman"/>
          <w:b w:val="0"/>
          <w:color w:val="000000"/>
          <w:sz w:val="24"/>
        </w:rPr>
        <w:t>- Portfolio Batch Validation: Dispatched compound multi-asset requests to confirm that the batch pipeline preserves input order, executes deterministic predictions, and returns consolidated JSON responses.</w:t>
      </w:r>
    </w:p>
    <w:p>
      <w:pPr>
        <w:spacing w:line="276" w:lineRule="auto" w:before="0" w:after="80"/>
        <w:ind w:left="360"/>
        <w:jc w:val="both"/>
      </w:pPr>
      <w:r>
        <w:rPr>
          <w:rFonts w:ascii="Times New Roman" w:hAnsi="Times New Roman"/>
          <w:b w:val="0"/>
          <w:color w:val="000000"/>
          <w:sz w:val="24"/>
        </w:rPr>
        <w:t>- Negative Payload Testing: Transmitted deliberately incomplete records lacking mandatory features, verifying that the validation framework intercepted the malformed request and returned informative error details without crashing the process.</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1872"/>
        <w:gridCol w:w="1872"/>
        <w:gridCol w:w="1872"/>
        <w:gridCol w:w="1872"/>
        <w:gridCol w:w="1872"/>
      </w:tblGrid>
      <w:tr>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Verification Step</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Target Endpoint</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Expected Outcome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Observed Response</w:t>
            </w:r>
          </w:p>
        </w:tc>
        <w:tc>
          <w:tcPr>
            <w:tcW w:type="dxa" w:w="1872"/>
            <w:tcMar>
              <w:top w:w="120" w:type="dxa"/>
              <w:bottom w:w="120" w:type="dxa"/>
              <w:left w:w="140" w:type="dxa"/>
              <w:right w:w="140" w:type="dxa"/>
            </w:tcMar>
            <w:shd w:val="clear" w:color="auto" w:fill="F0F0F0"/>
          </w:tcPr>
          <w:p>
            <w:pPr>
              <w:jc w:val="center"/>
            </w:pPr>
            <w:r>
              <w:rPr>
                <w:rFonts w:ascii="Times New Roman" w:hAnsi="Times New Roman"/>
                <w:b/>
                <w:color w:val="000000"/>
                <w:sz w:val="22"/>
              </w:rPr>
              <w:t>Test Status</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Health Monitoring</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GET /health</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HTTP 200 and healthy flag</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model confirmed online</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Bullish Inference</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 /predict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HTTP 200 and valid direction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returned downward label</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Bearish Inference</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 /predict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HTTP 200 and valid direction</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returned upward label</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Batch Processing</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 /predict_batch</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HTTP 200 and multi-prediction list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200, two records evaluated</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r>
        <w:tc>
          <w:tcPr>
            <w:tcW w:type="dxa" w:w="1872"/>
            <w:tcMar>
              <w:top w:w="100" w:type="dxa"/>
              <w:bottom w:w="100" w:type="dxa"/>
              <w:left w:w="140" w:type="dxa"/>
              <w:right w:w="140" w:type="dxa"/>
            </w:tcMar>
          </w:tcPr>
          <w:p>
            <w:pPr>
              <w:jc w:val="left"/>
            </w:pPr>
            <w:r>
              <w:rPr>
                <w:rFonts w:ascii="Times New Roman" w:hAnsi="Times New Roman"/>
                <w:b w:val="0"/>
                <w:color w:val="000000"/>
                <w:sz w:val="22"/>
              </w:rPr>
              <w:t>Negative Schema Check</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POST /predict</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HTTP 422 unprocessable entity</w:t>
            </w:r>
          </w:p>
        </w:tc>
        <w:tc>
          <w:tcPr>
            <w:tcW w:type="dxa" w:w="1872"/>
            <w:tcMar>
              <w:top w:w="100" w:type="dxa"/>
              <w:bottom w:w="100" w:type="dxa"/>
              <w:left w:w="140" w:type="dxa"/>
              <w:right w:w="140" w:type="dxa"/>
            </w:tcMar>
          </w:tcPr>
          <w:p>
            <w:pPr>
              <w:jc w:val="left"/>
            </w:pPr>
            <w:r>
              <w:rPr>
                <w:rFonts w:ascii="Times New Roman" w:hAnsi="Times New Roman"/>
                <w:b w:val="0"/>
                <w:color w:val="000000"/>
                <w:sz w:val="22"/>
              </w:rPr>
              <w:t>Status 422, blocked missing inputs</w:t>
            </w:r>
          </w:p>
        </w:tc>
        <w:tc>
          <w:tcPr>
            <w:tcW w:type="dxa" w:w="1872"/>
            <w:tcMar>
              <w:top w:w="100" w:type="dxa"/>
              <w:bottom w:w="100" w:type="dxa"/>
              <w:left w:w="140" w:type="dxa"/>
              <w:right w:w="140" w:type="dxa"/>
            </w:tcMar>
          </w:tcPr>
          <w:p>
            <w:pPr>
              <w:jc w:val="center"/>
            </w:pPr>
            <w:r>
              <w:rPr>
                <w:rFonts w:ascii="Times New Roman" w:hAnsi="Times New Roman"/>
                <w:b w:val="0"/>
                <w:color w:val="000000"/>
                <w:sz w:val="22"/>
              </w:rPr>
              <w:t>Passed</w:t>
            </w:r>
          </w:p>
        </w:tc>
      </w:tr>
    </w:tbl>
    <w:p>
      <w:pPr>
        <w:spacing w:before="80" w:after="80"/>
      </w:pPr>
    </w:p>
    <w:p>
      <w:pPr>
        <w:keepNext/>
        <w:spacing w:before="200" w:after="60"/>
        <w:jc w:val="left"/>
      </w:pPr>
      <w:r>
        <w:rPr>
          <w:rFonts w:ascii="Times New Roman" w:hAnsi="Times New Roman"/>
          <w:b/>
          <w:color w:val="000000"/>
          <w:sz w:val="28"/>
        </w:rPr>
        <w:t>3. Containerization and Docker Packaging</w:t>
      </w:r>
    </w:p>
    <w:p>
      <w:pPr>
        <w:spacing w:line="276" w:lineRule="auto" w:before="0" w:after="80"/>
        <w:ind w:left="360"/>
        <w:jc w:val="both"/>
      </w:pPr>
      <w:r>
        <w:rPr>
          <w:rFonts w:ascii="Times New Roman" w:hAnsi="Times New Roman"/>
          <w:b w:val="0"/>
          <w:color w:val="000000"/>
          <w:sz w:val="24"/>
        </w:rPr>
        <w:t>- Base Image Optimization: Selected a minimal slim Python runtime environment to reduce container image footprint, eliminate unnecessary build toolchains, and decrease initialization latency.</w:t>
      </w:r>
    </w:p>
    <w:p>
      <w:pPr>
        <w:spacing w:line="276" w:lineRule="auto" w:before="0" w:after="80"/>
        <w:ind w:left="360"/>
        <w:jc w:val="both"/>
      </w:pPr>
      <w:r>
        <w:rPr>
          <w:rFonts w:ascii="Times New Roman" w:hAnsi="Times New Roman"/>
          <w:b w:val="0"/>
          <w:color w:val="000000"/>
          <w:sz w:val="24"/>
        </w:rPr>
        <w:t>- Layer Caching Design: Structured the container specification to isolate Python dependency installation from application code transfer, allowing Docker to cache package layers across consecutive builds.</w:t>
      </w:r>
    </w:p>
    <w:p>
      <w:pPr>
        <w:spacing w:line="276" w:lineRule="auto" w:before="0" w:after="80"/>
        <w:ind w:left="360"/>
        <w:jc w:val="both"/>
      </w:pPr>
      <w:r>
        <w:rPr>
          <w:rFonts w:ascii="Times New Roman" w:hAnsi="Times New Roman"/>
          <w:b w:val="0"/>
          <w:color w:val="000000"/>
          <w:sz w:val="24"/>
        </w:rPr>
        <w:t>- Least Privilege Security: Configured an explicit non-root service account and execution group within the container to prevent potential privilege escalation vulnerabilities during production runtime.</w:t>
      </w:r>
    </w:p>
    <w:p>
      <w:pPr>
        <w:spacing w:line="276" w:lineRule="auto" w:before="0" w:after="80"/>
        <w:ind w:left="360"/>
        <w:jc w:val="both"/>
      </w:pPr>
      <w:r>
        <w:rPr>
          <w:rFonts w:ascii="Times New Roman" w:hAnsi="Times New Roman"/>
          <w:b w:val="0"/>
          <w:color w:val="000000"/>
          <w:sz w:val="24"/>
        </w:rPr>
        <w:t>- Healthcheck Integration: Implemented native container healthcheck directives that periodically poll the health endpoint to report service vitality directly to container runtime supervisors.</w:t>
      </w:r>
    </w:p>
    <w:p>
      <w:pPr>
        <w:spacing w:line="276" w:lineRule="auto" w:before="0" w:after="80"/>
        <w:ind w:left="360"/>
        <w:jc w:val="both"/>
      </w:pPr>
      <w:r>
        <w:rPr>
          <w:rFonts w:ascii="Times New Roman" w:hAnsi="Times New Roman"/>
          <w:b w:val="0"/>
          <w:color w:val="000000"/>
          <w:sz w:val="24"/>
        </w:rPr>
        <w:t>- Build Context Hygiene: Enforced build context filtering to prevent the inclusion of intermediate experiment runs, tracking databases, and temporary files inside the final container artifact.</w:t>
      </w:r>
    </w:p>
    <w:tbl>
      <w:tblPr>
        <w:tblW w:type="auto" w:w="0"/>
        <w:jc w:val="center"/>
        <w:tblLook w:firstColumn="1" w:firstRow="1" w:lastColumn="0" w:lastRow="0" w:noHBand="0" w:noVBand="1" w:val="04A0"/>
        <w:tblBorders>
          <w:top w:val="single" w:sz="6" w:space="0" w:color="000000"/>
          <w:bottom w:val="single" w:sz="6" w:space="0" w:color="000000"/>
          <w:left w:val="none"/>
          <w:right w:val="none"/>
          <w:insideH w:val="single" w:sz="4" w:space="0" w:color="CCCCCC"/>
          <w:insideV w:val="none"/>
        </w:tblBorders>
      </w:tblPr>
      <w:tblGrid>
        <w:gridCol w:w="3120"/>
        <w:gridCol w:w="3120"/>
        <w:gridCol w:w="3120"/>
      </w:tblGrid>
      <w:tr>
        <w:tc>
          <w:tcPr>
            <w:tcW w:type="dxa" w:w="3120"/>
            <w:tcMar>
              <w:top w:w="120" w:type="dxa"/>
              <w:bottom w:w="120" w:type="dxa"/>
              <w:left w:w="140" w:type="dxa"/>
              <w:right w:w="140" w:type="dxa"/>
            </w:tcMar>
            <w:shd w:val="clear" w:color="auto" w:fill="F0F0F0"/>
          </w:tcPr>
          <w:p>
            <w:pPr>
              <w:jc w:val="center"/>
            </w:pPr>
            <w:r>
              <w:rPr>
                <w:rFonts w:ascii="Times New Roman" w:hAnsi="Times New Roman"/>
                <w:b/>
                <w:color w:val="000000"/>
                <w:sz w:val="22"/>
              </w:rPr>
              <w:t>Container Configuration</w:t>
            </w:r>
          </w:p>
        </w:tc>
        <w:tc>
          <w:tcPr>
            <w:tcW w:type="dxa" w:w="3120"/>
            <w:tcMar>
              <w:top w:w="120" w:type="dxa"/>
              <w:bottom w:w="120" w:type="dxa"/>
              <w:left w:w="140" w:type="dxa"/>
              <w:right w:w="140" w:type="dxa"/>
            </w:tcMar>
            <w:shd w:val="clear" w:color="auto" w:fill="F0F0F0"/>
          </w:tcPr>
          <w:p>
            <w:pPr>
              <w:jc w:val="center"/>
            </w:pPr>
            <w:r>
              <w:rPr>
                <w:rFonts w:ascii="Times New Roman" w:hAnsi="Times New Roman"/>
                <w:b/>
                <w:color w:val="000000"/>
                <w:sz w:val="22"/>
              </w:rPr>
              <w:t>Specification Setting</w:t>
            </w:r>
          </w:p>
        </w:tc>
        <w:tc>
          <w:tcPr>
            <w:tcW w:type="dxa" w:w="3120"/>
            <w:tcMar>
              <w:top w:w="120" w:type="dxa"/>
              <w:bottom w:w="120" w:type="dxa"/>
              <w:left w:w="140" w:type="dxa"/>
              <w:right w:w="140" w:type="dxa"/>
            </w:tcMar>
            <w:shd w:val="clear" w:color="auto" w:fill="F0F0F0"/>
          </w:tcPr>
          <w:p>
            <w:pPr>
              <w:jc w:val="center"/>
            </w:pPr>
            <w:r>
              <w:rPr>
                <w:rFonts w:ascii="Times New Roman" w:hAnsi="Times New Roman"/>
                <w:b/>
                <w:color w:val="000000"/>
                <w:sz w:val="22"/>
              </w:rPr>
              <w:t>Engineering Justification</w:t>
            </w:r>
          </w:p>
        </w:tc>
      </w:tr>
      <w:tr>
        <w:tc>
          <w:tcPr>
            <w:tcW w:type="dxa" w:w="3120"/>
            <w:tcMar>
              <w:top w:w="100" w:type="dxa"/>
              <w:bottom w:w="100" w:type="dxa"/>
              <w:left w:w="140" w:type="dxa"/>
              <w:right w:w="140" w:type="dxa"/>
            </w:tcMar>
          </w:tcPr>
          <w:p>
            <w:pPr>
              <w:jc w:val="left"/>
            </w:pPr>
            <w:r>
              <w:rPr>
                <w:rFonts w:ascii="Times New Roman" w:hAnsi="Times New Roman"/>
                <w:b w:val="0"/>
                <w:color w:val="000000"/>
                <w:sz w:val="22"/>
              </w:rPr>
              <w:t>Runtime Environment</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Python 3.11 Slim Image</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Provides clean standard runtime while minimizing disk footprint and surface vulnerability</w:t>
            </w:r>
          </w:p>
        </w:tc>
      </w:tr>
      <w:tr>
        <w:tc>
          <w:tcPr>
            <w:tcW w:type="dxa" w:w="3120"/>
            <w:tcMar>
              <w:top w:w="100" w:type="dxa"/>
              <w:bottom w:w="100" w:type="dxa"/>
              <w:left w:w="140" w:type="dxa"/>
              <w:right w:w="140" w:type="dxa"/>
            </w:tcMar>
          </w:tcPr>
          <w:p>
            <w:pPr>
              <w:jc w:val="left"/>
            </w:pPr>
            <w:r>
              <w:rPr>
                <w:rFonts w:ascii="Times New Roman" w:hAnsi="Times New Roman"/>
                <w:b w:val="0"/>
                <w:color w:val="000000"/>
                <w:sz w:val="22"/>
              </w:rPr>
              <w:t>Process User</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Dedicated App User (Non-Root)</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Enforces least-privilege boundary and protects underlying host operating systems</w:t>
            </w:r>
          </w:p>
        </w:tc>
      </w:tr>
      <w:tr>
        <w:tc>
          <w:tcPr>
            <w:tcW w:type="dxa" w:w="3120"/>
            <w:tcMar>
              <w:top w:w="100" w:type="dxa"/>
              <w:bottom w:w="100" w:type="dxa"/>
              <w:left w:w="140" w:type="dxa"/>
              <w:right w:w="140" w:type="dxa"/>
            </w:tcMar>
          </w:tcPr>
          <w:p>
            <w:pPr>
              <w:jc w:val="left"/>
            </w:pPr>
            <w:r>
              <w:rPr>
                <w:rFonts w:ascii="Times New Roman" w:hAnsi="Times New Roman"/>
                <w:b w:val="0"/>
                <w:color w:val="000000"/>
                <w:sz w:val="22"/>
              </w:rPr>
              <w:t>Network Exposure</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TCP Port 8000 Binding</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Standardizes ingress communication interface for API gateways and reverse proxies</w:t>
            </w:r>
          </w:p>
        </w:tc>
      </w:tr>
      <w:tr>
        <w:tc>
          <w:tcPr>
            <w:tcW w:type="dxa" w:w="3120"/>
            <w:tcMar>
              <w:top w:w="100" w:type="dxa"/>
              <w:bottom w:w="100" w:type="dxa"/>
              <w:left w:w="140" w:type="dxa"/>
              <w:right w:w="140" w:type="dxa"/>
            </w:tcMar>
          </w:tcPr>
          <w:p>
            <w:pPr>
              <w:jc w:val="left"/>
            </w:pPr>
            <w:r>
              <w:rPr>
                <w:rFonts w:ascii="Times New Roman" w:hAnsi="Times New Roman"/>
                <w:b w:val="0"/>
                <w:color w:val="000000"/>
                <w:sz w:val="22"/>
              </w:rPr>
              <w:t>Health Polling</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Periodic 30-Second Health Query</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Allows container orchestration platforms to detect silent failures and restart instances</w:t>
            </w:r>
          </w:p>
        </w:tc>
      </w:tr>
      <w:tr>
        <w:tc>
          <w:tcPr>
            <w:tcW w:type="dxa" w:w="3120"/>
            <w:tcMar>
              <w:top w:w="100" w:type="dxa"/>
              <w:bottom w:w="100" w:type="dxa"/>
              <w:left w:w="140" w:type="dxa"/>
              <w:right w:w="140" w:type="dxa"/>
            </w:tcMar>
          </w:tcPr>
          <w:p>
            <w:pPr>
              <w:jc w:val="left"/>
            </w:pPr>
            <w:r>
              <w:rPr>
                <w:rFonts w:ascii="Times New Roman" w:hAnsi="Times New Roman"/>
                <w:b w:val="0"/>
                <w:color w:val="000000"/>
                <w:sz w:val="22"/>
              </w:rPr>
              <w:t>Context Filtering</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Clean Artifact Exclusion Rules</w:t>
            </w:r>
          </w:p>
        </w:tc>
        <w:tc>
          <w:tcPr>
            <w:tcW w:type="dxa" w:w="3120"/>
            <w:tcMar>
              <w:top w:w="100" w:type="dxa"/>
              <w:bottom w:w="100" w:type="dxa"/>
              <w:left w:w="140" w:type="dxa"/>
              <w:right w:w="140" w:type="dxa"/>
            </w:tcMar>
          </w:tcPr>
          <w:p>
            <w:pPr>
              <w:jc w:val="left"/>
            </w:pPr>
            <w:r>
              <w:rPr>
                <w:rFonts w:ascii="Times New Roman" w:hAnsi="Times New Roman"/>
                <w:b w:val="0"/>
                <w:color w:val="000000"/>
                <w:sz w:val="22"/>
              </w:rPr>
              <w:t>Excludes training datasets, local logs, and model tracking runs from production builds</w:t>
            </w:r>
          </w:p>
        </w:tc>
      </w:tr>
    </w:tbl>
    <w:p>
      <w:pPr>
        <w:spacing w:before="80" w:after="80"/>
      </w:pPr>
    </w:p>
    <w:p>
      <w:pPr>
        <w:keepNext/>
        <w:spacing w:before="200" w:after="60"/>
        <w:jc w:val="left"/>
      </w:pPr>
      <w:r>
        <w:rPr>
          <w:rFonts w:ascii="Times New Roman" w:hAnsi="Times New Roman"/>
          <w:b/>
          <w:color w:val="000000"/>
          <w:sz w:val="28"/>
        </w:rPr>
        <w:t>4. Local Deployment and Runtime Management</w:t>
      </w:r>
    </w:p>
    <w:p>
      <w:pPr>
        <w:spacing w:line="276" w:lineRule="auto" w:before="0" w:after="80"/>
        <w:ind w:left="360"/>
        <w:jc w:val="both"/>
      </w:pPr>
      <w:r>
        <w:rPr>
          <w:rFonts w:ascii="Times New Roman" w:hAnsi="Times New Roman"/>
          <w:b w:val="0"/>
          <w:color w:val="000000"/>
          <w:sz w:val="24"/>
        </w:rPr>
        <w:t>- Container Lifecycle Controls: Documented standardized commands for building tagged container images, initiating background daemon processes, and inspecting container process tables.</w:t>
      </w:r>
    </w:p>
    <w:p>
      <w:pPr>
        <w:spacing w:line="276" w:lineRule="auto" w:before="0" w:after="80"/>
        <w:ind w:left="360"/>
        <w:jc w:val="both"/>
      </w:pPr>
      <w:r>
        <w:rPr>
          <w:rFonts w:ascii="Times New Roman" w:hAnsi="Times New Roman"/>
          <w:b w:val="0"/>
          <w:color w:val="000000"/>
          <w:sz w:val="24"/>
        </w:rPr>
        <w:t>- Runtime Resource Allocation: Defined explicit memory ceiling and processor allocation boundaries to prevent container resource exhaustion under intensive inference traffic.</w:t>
      </w:r>
    </w:p>
    <w:p>
      <w:pPr>
        <w:spacing w:line="276" w:lineRule="auto" w:before="0" w:after="80"/>
        <w:ind w:left="360"/>
        <w:jc w:val="both"/>
      </w:pPr>
      <w:r>
        <w:rPr>
          <w:rFonts w:ascii="Times New Roman" w:hAnsi="Times New Roman"/>
          <w:b w:val="0"/>
          <w:color w:val="000000"/>
          <w:sz w:val="24"/>
        </w:rPr>
        <w:t>- Application Logging Architecture: Verified that the asynchronous server captures detailed HTTP transaction logs, response durations, and error traces directly to standard container output streams.</w:t>
      </w:r>
    </w:p>
    <w:p>
      <w:pPr>
        <w:spacing w:line="276" w:lineRule="auto" w:before="0" w:after="80"/>
        <w:ind w:left="360"/>
        <w:jc w:val="both"/>
      </w:pPr>
      <w:r>
        <w:rPr>
          <w:rFonts w:ascii="Times New Roman" w:hAnsi="Times New Roman"/>
          <w:b w:val="0"/>
          <w:color w:val="000000"/>
          <w:sz w:val="24"/>
        </w:rPr>
        <w:t>- Graceful Service Termination: Formulated lifecycle termination procedures ensuring that active inference transactions are completed prior to process shutdown.</w:t>
      </w:r>
    </w:p>
    <w:p>
      <w:pPr>
        <w:keepNext/>
        <w:spacing w:before="280" w:after="80"/>
        <w:jc w:val="left"/>
      </w:pPr>
      <w:r>
        <w:rPr>
          <w:rFonts w:ascii="Times New Roman" w:hAnsi="Times New Roman"/>
          <w:b/>
          <w:color w:val="000000"/>
          <w:sz w:val="32"/>
        </w:rPr>
        <w:t>Conclusion</w:t>
      </w:r>
    </w:p>
    <w:p>
      <w:pPr>
        <w:spacing w:line="276" w:lineRule="auto" w:before="0" w:after="80"/>
        <w:jc w:val="both"/>
      </w:pPr>
      <w:r>
        <w:rPr>
          <w:rFonts w:ascii="Times New Roman" w:hAnsi="Times New Roman"/>
          <w:b w:val="0"/>
          <w:color w:val="000000"/>
          <w:sz w:val="24"/>
        </w:rPr>
        <w:t>The experiment demonstrated the successful containerization and API deployment of the NIFTY 50 stock direction classification model. By integrating FastAPI with Pydantic validation schemas, the service guarantees strict data contracts, high-throughput inference, and robust error handling. The containerized deployment architecture, built on an unprivileged multi-stage Docker environment, ensures platform independence, security compliance, and effortless cloud orchestration. This end-to-end deployment pipeline bridges the gap between offline model training and real-time production financial serving.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