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36"/>
        </w:rPr>
        <w:t>Experiment No. 8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Aim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To develop an interactive quantitative machine learning dashboard using Streamlit, formulate an enterprise Responsible AI governance report, and publish a comprehensive production portfolio synthesizing the end-to-end predictive modeling lifecycle.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Objective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Construct an interactive quantitative analytics dashboard incorporating real-time inference, model evaluation metrics, explainability plots, and data drift monitoring.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Implement explainable AI visualizations using SHAP to provide global feature rankings and local prediction transparency for financial stakeholders.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Integrate algorithmic fairness auditing and bias mitigation results using Fairlearn across asset risk tiers.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Formulate a comprehensive Responsible AI governance report addressing algorithmic non-discrimination, explainability, data privacy, and user consent.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Publish the centralized project repository documenting the complete applied machine learning curriculum on GitHub.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Detailed Steps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1. Dataset Curation and Interactive Dashboard Architecture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Data Curation Contrast: Analyzed the transition from the uncurated raw merged dataset containing 60,550 observations across non-aligned trading calendars to the curated training dataset containing 29,310 observations across the 42 constituent equities.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Application Framework: Built upon the open-source Streamlit framework to provide responsive web layouts with multi-tab navigation and dynamic controls.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Real-Time Inference Module: Implemented interactive parameter inputs across all sixteen financial features, featuring automated preset scenarios and immediate directional prediction scoring.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Model Benchmark Module: Embedded performance metric comparisons across all five classification algorithms developed during experiment four, detailing accuracy, precision, recall, and receiver operating characteristic areas.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Explainability Visualizations: Displayed global feature attribution rankings derived from Shapley additive explanations, validating key market drivers including momentum oscillators and return lags.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Fairness Audit Module: Integrated group-specific selection rates and demographic parity metrics across high, medium, and low risk asset classifications.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Data Drift Detection Module: Designed automated statistical distribution comparisons to detect market regime shifts between raw data, curated baselines, and streaming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Functional Module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Technical Implementation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Evaluated Dimensions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Target User Group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Real-Time Predictor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Interactive Form Controls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Sixteen continuous market features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Portfolio Managers and Traders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Model Benchmarking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Comparative Metric Tables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Accuracy, ROC-AUC, and F1 scores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Machine Learning Engineers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Interpretability View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SHAP Feature Attributions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Global importance and momentum impact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Risk Officers and Auditors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Fairness Auditing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Fairlearn Disparity Analysis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Group selection rates across risk tiers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Compliance Officers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Data Drift Checks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Kolmogorov-Smirnov Tests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Feature distribution divergence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Production Support Engineers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2. Algorithmic Explainability and Market Interpretability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Global Feature Hierarchy: Confirmed that momentum oscillators, particularly the Relative Strength Index, followed by daily returns and short-term lagged price movements, exert the greatest mathematical influence on directional classification.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Economic Alignment: Verified that model split logic corresponds to established market mechanics, where oversold momentum conditions prompt upward probability shifts and elevated trailing volatility signals downward risk.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Local Decision Justification: Illustrated how local surrogate models provide trade-level explanations, ensuring that individual execution signals can be interrogated by risk management teams prior to capital commitment.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3. Responsible AI Governance, Privacy, and Consent Framework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Data Provenance and Consent: Verified that all ingested historical data derives from public secondary equity transactions without proprietary investor records, satisfying institutional research licensing standards.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User Advisory and Explicit Consent: Integrated clear advisory notices stating that directional estimates serve as probabilistic inputs requiring professional evaluation prior to trade execution.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Sensitive Subgroup Definition: Evaluated potential algorithmic disparities across sensitive asset risk segments, identifying baseline divergence where speculative securities were disproportionately assigned bullish predictions.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Disparity Mitigation: Applied threshold optimization to equalize selection rates across asset tiers, reducing group disparity from thirteen point two percent down to one point three percent without impairing overall classification accuracy.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Privacy and Security Standards: Confirmed that training data excludes all personal investor information, restricted model artifacts strictly to mathematical weights, and enforced non-root container isolation.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Safety Bounds and Drift Monitoring: Integrated declarative schema validation to reject invalid inputs and automated two-sample hypothesis tests to detect market regime shifts.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Governance Pillar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Verification Criterion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Engineering Safeguard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Compliance Verdict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Data Consent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Public secondary data licensing and user trade disclosures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Educational licensing and explicit disclaimer notice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Compliant (Public Quotes)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Algorithmic Fairness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Demographic disparity below five percent across risk tiers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Post-processing threshold optimization with Fairlearn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Compliant (1.3% Disparity)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Model Explainability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Attribution scores for every directional prediction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Tree-based Shapley value and local surrogate integration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Compliant (SHAP and LIME)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Data Confidentiality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Exclusion of personal or confidential investor data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Sanitized secondary market indicators with zero PII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Compliant (Zero PII)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Production Safety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Automated input validation and boundary enforcement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Declarative Pydantic schema validation with error gates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Compliant (Pydantic Bounds)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Continuous Monitoring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Statistical detection of market regime shifts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Automated Kolmogorov-Smirnov two-sample hypothesis testing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Compliant (KS Test Engine)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4. Portfolio Publication and Deliverable Pointers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Centralized Repository Organization: Structured the project directory into modular subdirectories separating API source code, automated test suites, container manifests, and interactive dashboard components.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Reproducible Execution Guides: Formulated standardized execution documentation detailing step-by-step instructions for launching local API services, running automated test suites, building container images, and serving web dashboards.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Deliverables Integration: Consolidated all required project components, including public version control repositories, cloud application links, and governance charters.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Project Deliverable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Resource Description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Resource Pointer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Public Repository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Centralized Version Control Portfolio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https://github.com/manasa-premnathan05/nifty50-mlops-portfolio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Streamlit Application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Interactive Web Portal on Streamlit Cloud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https://manasa-premnathan05-nifty50-mlops.streamlit.app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Responsible AI Report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Audited Governance and Ethics Document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Available in repository root as Responsible_AI.md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Serving Service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Asynchronous Prediction API with Docker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Packaged in repository with multi-stage Dockerfile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Conclusion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b w:val="0"/>
          <w:color w:val="000000"/>
          <w:sz w:val="24"/>
        </w:rPr>
        <w:t>The experiment successfully delivered an interactive quantitative dashboard, an enterprise Responsible AI governance report, and a production-grade portfolio synthesizing the entire machine learning lifecycle. By combining real-time inference, SHAP interpretability, Fairlearn bias auditing, and continuous drift monitoring within a unified Streamlit interface, the system bridges algorithmic intelligence and ethical compliance. This comprehensive implementation establishes a robust, transparent, and auditable foundation for deploying machine learning models in modern financial markets.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