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B4D"/>
          <w:sz w:val="40"/>
          <w:szCs w:val="40"/>
        </w:rPr>
        <w:t xml:space="preserve">Executive Summary</w:t>
      </w:r>
    </w:p>
    <w:p>
      <w:pPr>
        <w:spacing w:after="80"/>
        <w:jc w:val="center"/>
      </w:pPr>
      <w:r>
        <w:rPr>
          <w:color w:val="4A2C1D"/>
          <w:sz w:val="24"/>
          <w:szCs w:val="24"/>
        </w:rPr>
        <w:t xml:space="preserve">Product Optimization &amp; Revenue Contribution Analysis — Afficionado Coffee Roasters</w:t>
      </w:r>
    </w:p>
    <w:p>
      <w:pPr>
        <w:spacing w:after="320"/>
        <w:jc w:val="center"/>
      </w:pPr>
      <w:r>
        <w:rPr>
          <w:i/>
          <w:iCs/>
          <w:color w:val="5B6470"/>
          <w:sz w:val="20"/>
          <w:szCs w:val="20"/>
        </w:rPr>
        <w:t xml:space="preserve">Prepared for government and municipal stakeholder review · 2025 sales data</w:t>
      </w:r>
    </w:p>
    <w:p>
      <w:pPr>
        <w:pStyle w:val="Heading1"/>
        <w:spacing w:after="160" w:before="320"/>
      </w:pPr>
      <w:r>
        <w:t xml:space="preserve">Purpose</w:t>
      </w:r>
    </w:p>
    <w:p>
      <w:pPr>
        <w:spacing w:after="160"/>
      </w:pPr>
      <w:r>
        <w:t xml:space="preserve">Afficionado Coffee Roasters operates three retail locations across New York City. This summary presents the findings of a data-driven review of 2025 product sales, undertaken to strengthen operational efficiency, inform local economic activity reporting, and demonstrate responsible, evidence-based small-business management practices.</w:t>
      </w:r>
    </w:p>
    <w:p>
      <w:pPr>
        <w:pStyle w:val="Heading1"/>
        <w:spacing w:after="160" w:before="320"/>
      </w:pPr>
      <w:r>
        <w:t xml:space="preserve">What We Analyzed</w:t>
      </w:r>
    </w:p>
    <w:p>
      <w:pPr>
        <w:spacing w:after="160"/>
      </w:pPr>
      <w:r>
        <w:t xml:space="preserve">We reviewed 149,116 point-of-sale transactions covering 80 distinct products across 9 categories (coffee, tea, bakery, chocolate, and related merchandise) sold at three store locations — Lower Manhattan, Hell's Kitchen, and Astoria — generating $698,812 in total revenue over the year.</w:t>
      </w:r>
    </w:p>
    <w:p>
      <w:pPr>
        <w:pStyle w:val="Heading1"/>
        <w:spacing w:after="160" w:before="320"/>
      </w:pPr>
      <w:r>
        <w:t xml:space="preserve">Headline Findings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60"/>
      </w:tblGrid>
      <w:tr>
        <w:trPr>
          <w:tblHeader/>
        </w:trPr>
        <w:tc>
          <w:tcPr>
            <w:tcW w:type="dxa" w:w="4600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60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Total 2025 revenue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$698,812.33</w:t>
            </w:r>
          </w:p>
        </w:tc>
      </w:tr>
      <w:tr>
        <w:tc>
          <w:tcPr>
            <w:tcW w:type="dxa" w:w="4600"/>
            <w:shd w:fill="F2EC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Total units sold</w:t>
            </w:r>
          </w:p>
        </w:tc>
        <w:tc>
          <w:tcPr>
            <w:tcW w:type="dxa" w:w="4660"/>
            <w:shd w:fill="F2EC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214,470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Products (SKUs) offered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80</w:t>
            </w:r>
          </w:p>
        </w:tc>
      </w:tr>
      <w:tr>
        <w:tc>
          <w:tcPr>
            <w:tcW w:type="dxa" w:w="4600"/>
            <w:shd w:fill="F2EC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Store locations</w:t>
            </w:r>
          </w:p>
        </w:tc>
        <w:tc>
          <w:tcPr>
            <w:tcW w:type="dxa" w:w="4660"/>
            <w:shd w:fill="F2EC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 (Astoria, Hell's Kitchen, Lower Manhattan)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Revenue share — Coffee &amp; Tea combined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66.7%</w:t>
            </w:r>
          </w:p>
        </w:tc>
      </w:tr>
      <w:tr>
        <w:tc>
          <w:tcPr>
            <w:tcW w:type="dxa" w:w="4600"/>
            <w:shd w:fill="F2EC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Revenue share — top 10 products</w:t>
            </w:r>
          </w:p>
        </w:tc>
        <w:tc>
          <w:tcPr>
            <w:tcW w:type="dxa" w:w="4660"/>
            <w:shd w:fill="F2EC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~25%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Menu share needed to reach 80% of revenue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54% of products (43 of 80)</w:t>
            </w:r>
          </w:p>
        </w:tc>
      </w:tr>
    </w:tbl>
    <w:p>
      <w:pPr>
        <w:spacing w:after="200"/>
      </w:pPr>
    </w:p>
    <w:p>
      <w:pPr>
        <w:spacing w:after="60" w:before="12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0"/>
          <w:sz w:val="18"/>
          <w:szCs w:val="18"/>
        </w:rPr>
        <w:t xml:space="preserve">Revenue is broadly distributed across categories, led by Coffee (38.6%) and Tea (28.1%).</w:t>
      </w:r>
    </w:p>
    <w:p>
      <w:pPr>
        <w:spacing w:after="160"/>
      </w:pPr>
      <w:r>
        <w:t xml:space="preserve">Store performance is well balanced: each of the three locations contributes between 32.9% and 33.8% of total revenue, indicating consistent demand across neighborhoods rather than dependence on a single site.</w:t>
      </w:r>
    </w:p>
    <w:p>
      <w:pPr>
        <w:pStyle w:val="Heading1"/>
        <w:spacing w:after="160" w:before="320"/>
      </w:pPr>
      <w:r>
        <w:t xml:space="preserve">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is moderately concentrated but not overly dependent on a small number of products — a sign of a resilient, diversified menu.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Coffee and Tea are the core of the business, together accounting for two-thirds of revenue, while smaller categories (loose tea, flavour syrups, packaged chocolate) play a supporting role.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small set of 14 low-performing products contributes less than 3% of revenue combined and represents an opportunity for menu simplification.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Premium, specialty items (e.g., select whole-bean coffees) generate disproportionately high revenue per unit sold, indicating opportunity in higher-margin specialty retail.</w:t>
      </w:r>
    </w:p>
    <w:p>
      <w:pPr>
        <w:pStyle w:val="Heading1"/>
        <w:spacing w:after="160" w:before="32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Continue promoting core, high-performing coffee and tea offerings that anchor revenue and customer footfall.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Simplify the menu by reviewing or consolidating the lowest-performing 14–16 products to reduce operational complexity.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premium/specialty product lines, which show strong revenue efficiency relative to sales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balanced investment across all three store locations, given their comparable performance.</w:t>
      </w:r>
    </w:p>
    <w:p>
      <w:pPr>
        <w:pStyle w:val="Heading1"/>
        <w:spacing w:after="160" w:before="320"/>
      </w:pPr>
      <w:r>
        <w:t xml:space="preserve">Broader Relevance</w:t>
      </w:r>
    </w:p>
    <w:p>
      <w:pPr>
        <w:spacing w:after="160"/>
      </w:pPr>
      <w:r>
        <w:t xml:space="preserve">This analysis illustrates how small and mid-sized food and beverage businesses can use routine transaction data to make evidence-based decisions — improving efficiency, sustaining employment across neighborhood locations, and contributing to the local economy. A live analytics dashboard accompanies this summary to support ongoing, transparent monitoring of business performance.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Page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Afficionado Coffee Roasters ·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B4D" w:sz="6" w:space="4"/>
      </w:pBdr>
      <w:spacing w:after="160" w:before="320"/>
    </w:pPr>
    <w:rPr>
      <w:rFonts w:ascii="Calibri" w:cs="Calibri" w:eastAsia="Calibri" w:hAnsi="Calibri"/>
      <w:b/>
      <w:bCs/>
      <w:color w:val="1F3B4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d15456e473308a35f89ca7d7e13117eb978b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2026-08-05T02:48:07.193Z</dcterms:created>
  <dcterms:modified xsi:type="dcterms:W3CDTF">2026-08-05T02:48:07.193Z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