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horzAnchor="margin" w:tblpY="35"/>
        <w:tblW w:w="0" w:type="auto"/>
        <w:tblLook w:val="04A0"/>
      </w:tblPr>
      <w:tblGrid>
        <w:gridCol w:w="958"/>
        <w:gridCol w:w="2950"/>
        <w:gridCol w:w="4120"/>
      </w:tblGrid>
      <w:tr w:rsidR="005A7117" w:rsidRPr="0064024F" w:rsidTr="005A7117">
        <w:tc>
          <w:tcPr>
            <w:tcW w:w="958" w:type="dxa"/>
            <w:shd w:val="clear" w:color="auto" w:fill="FABF8F" w:themeFill="accent6" w:themeFillTint="99"/>
            <w:vAlign w:val="center"/>
          </w:tcPr>
          <w:p w:rsidR="005A7117" w:rsidRPr="0064024F" w:rsidRDefault="005A7117" w:rsidP="005A7117">
            <w:pPr>
              <w:pStyle w:val="Heading3"/>
              <w:jc w:val="center"/>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S.I NO</w:t>
            </w:r>
          </w:p>
        </w:tc>
        <w:tc>
          <w:tcPr>
            <w:tcW w:w="2950" w:type="dxa"/>
            <w:shd w:val="clear" w:color="auto" w:fill="FABF8F" w:themeFill="accent6" w:themeFillTint="99"/>
            <w:vAlign w:val="center"/>
          </w:tcPr>
          <w:p w:rsidR="005A7117" w:rsidRPr="0064024F" w:rsidRDefault="005A7117" w:rsidP="005A7117">
            <w:pPr>
              <w:pStyle w:val="Heading3"/>
              <w:jc w:val="center"/>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Test Name</w:t>
            </w:r>
          </w:p>
        </w:tc>
        <w:tc>
          <w:tcPr>
            <w:tcW w:w="4120" w:type="dxa"/>
            <w:shd w:val="clear" w:color="auto" w:fill="FABF8F" w:themeFill="accent6" w:themeFillTint="99"/>
            <w:vAlign w:val="center"/>
          </w:tcPr>
          <w:p w:rsidR="005A7117" w:rsidRPr="0064024F" w:rsidRDefault="005A7117" w:rsidP="005A7117">
            <w:pPr>
              <w:pStyle w:val="Heading3"/>
              <w:jc w:val="center"/>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Details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Changes in Seed Surface (Porosity) [SEM]</w:t>
            </w:r>
          </w:p>
        </w:tc>
        <w:tc>
          <w:tcPr>
            <w:tcW w:w="4120" w:type="dxa"/>
          </w:tcPr>
          <w:p w:rsidR="005A7117" w:rsidRPr="0064024F" w:rsidRDefault="005A7117" w:rsidP="005A7117">
            <w:pPr>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Scanning Electron Microscopy (SEM) provides high-resolution images of seed surface morphology.</w:t>
            </w:r>
          </w:p>
          <w:p w:rsidR="005A7117" w:rsidRPr="0064024F" w:rsidRDefault="005A7117" w:rsidP="005A7117">
            <w:pPr>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Changes in surface texture, cracks, or pores can indicate alterations due to plasma treatment, aging, or environmental stress. Enhanced porosity may improve water absorption and gas exchange, which can positively affect germination.</w:t>
            </w:r>
          </w:p>
          <w:p w:rsidR="005A7117" w:rsidRPr="0064024F" w:rsidRDefault="005A7117" w:rsidP="005A7117">
            <w:pPr>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Evaluates seed coat modifications that could affect seed hydration, protection from pathogens, or chemical treatments.</w:t>
            </w:r>
          </w:p>
          <w:p w:rsidR="005A7117" w:rsidRPr="0064024F" w:rsidRDefault="005A7117" w:rsidP="005A7117">
            <w:pPr>
              <w:spacing w:after="100" w:afterAutospacing="1"/>
              <w:ind w:left="72"/>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Provides insights into surface modifications of seeds, which could affect water absorption, gas exchange, or seed coat integrity.</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Seed Growth or Germination (Morphological Features) [Visual Observation]</w:t>
            </w:r>
          </w:p>
        </w:tc>
        <w:tc>
          <w:tcPr>
            <w:tcW w:w="4120" w:type="dxa"/>
          </w:tcPr>
          <w:p w:rsidR="005A7117" w:rsidRPr="0064024F" w:rsidRDefault="005A7117" w:rsidP="005A7117">
            <w:pPr>
              <w:spacing w:before="100" w:beforeAutospacing="1" w:after="100" w:afterAutospacing="1"/>
              <w:ind w:left="-18"/>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Simple yet critical for assessing the physiological effects of treatments like plasma, chemicals, or environmental factors.</w:t>
            </w:r>
          </w:p>
          <w:p w:rsidR="005A7117" w:rsidRPr="0064024F" w:rsidRDefault="005A7117" w:rsidP="005A7117">
            <w:pPr>
              <w:spacing w:before="100" w:beforeAutospacing="1" w:after="100" w:afterAutospacing="1"/>
              <w:ind w:left="-18"/>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Germination rates, seedling length, root-shoot ratio, and abnormalities. Consistent increases in germination speed or rates suggest enhanced viability or dormancy break.</w:t>
            </w:r>
          </w:p>
          <w:p w:rsidR="005A7117" w:rsidRPr="0064024F" w:rsidRDefault="005A7117" w:rsidP="005A7117">
            <w:pPr>
              <w:spacing w:before="100" w:beforeAutospacing="1" w:after="100" w:afterAutospacing="1"/>
              <w:ind w:left="-18"/>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Screening for germination-promoting treatments or evaluating storage effects.</w:t>
            </w:r>
          </w:p>
          <w:p w:rsidR="005A7117" w:rsidRPr="0064024F" w:rsidRDefault="005A7117" w:rsidP="005A7117">
            <w:pPr>
              <w:spacing w:before="100" w:beforeAutospacing="1" w:after="100" w:afterAutospacing="1"/>
              <w:ind w:left="-18"/>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Indicates the effectiveness of treatments on germination rate, seed vigor, and morphological development.</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Growth Index/Vigor Index/Seedling Index [Germination Sheets]</w:t>
            </w:r>
          </w:p>
        </w:tc>
        <w:tc>
          <w:tcPr>
            <w:tcW w:w="4120" w:type="dxa"/>
          </w:tcPr>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Combines metrics like germination percentage and seedling growth to provide an overall vigor score.</w:t>
            </w:r>
          </w:p>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xml:space="preserve">: Higher vigor </w:t>
            </w:r>
            <w:r w:rsidRPr="0064024F">
              <w:rPr>
                <w:rFonts w:ascii="Times New Roman" w:hAnsi="Times New Roman" w:cs="Times New Roman"/>
                <w:sz w:val="24"/>
                <w:szCs w:val="24"/>
              </w:rPr>
              <w:lastRenderedPageBreak/>
              <w:t>indices suggest robust growth potential, while lower values may indicate stress or reduced viability.</w:t>
            </w:r>
          </w:p>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Useful in testing the impact of seed treatments on crop establishment under various conditions.</w:t>
            </w:r>
          </w:p>
          <w:p w:rsidR="005A7117" w:rsidRPr="0064024F" w:rsidRDefault="005A7117" w:rsidP="005A7117">
            <w:pPr>
              <w:spacing w:before="100" w:beforeAutospacing="1" w:after="100" w:afterAutospacing="1"/>
              <w:ind w:left="72"/>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xml:space="preserve"> Assesses seedling performance, viability, and growth potential under varying conditions.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Chlorophyll Factor [Leaf Chlorophyll Meter]</w:t>
            </w:r>
          </w:p>
        </w:tc>
        <w:tc>
          <w:tcPr>
            <w:tcW w:w="4120" w:type="dxa"/>
          </w:tcPr>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Chlorophyll is a proxy for photosynthetic activity and overall plant health.</w:t>
            </w:r>
          </w:p>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Changes in chlorophyll content indicate stress, nutrient deficiencies, or enhanced photosynthetic capacity due to treatments.</w:t>
            </w:r>
          </w:p>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Optimizing conditions for growth, detecting early-stage nutrient imbalances, or stress responses.</w:t>
            </w:r>
          </w:p>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Measures chlorophyll content, reflecting photosynthetic efficiency and plant health.</w:t>
            </w:r>
          </w:p>
          <w:p w:rsidR="005A7117" w:rsidRPr="0064024F" w:rsidRDefault="005A7117" w:rsidP="005A7117">
            <w:pPr>
              <w:spacing w:before="100" w:beforeAutospacing="1" w:after="100" w:afterAutospacing="1"/>
              <w:ind w:left="72"/>
              <w:jc w:val="both"/>
              <w:rPr>
                <w:rStyle w:val="Strong"/>
                <w:rFonts w:ascii="Times New Roman" w:hAnsi="Times New Roman" w:cs="Times New Roman"/>
                <w:sz w:val="24"/>
                <w:szCs w:val="24"/>
              </w:rPr>
            </w:pP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Antioxidant Enzymes (APX, SOD, CAT, GR) [UV Spectrophotometer]</w:t>
            </w:r>
          </w:p>
        </w:tc>
        <w:tc>
          <w:tcPr>
            <w:tcW w:w="4120" w:type="dxa"/>
          </w:tcPr>
          <w:p w:rsidR="005A7117" w:rsidRPr="0064024F" w:rsidRDefault="005A7117" w:rsidP="005A7117">
            <w:pPr>
              <w:spacing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Antioxidant enzymes protect cells by neutralizing harmful ROS produced during stress or germination.</w:t>
            </w:r>
          </w:p>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Increased enzyme activity indicates an improved defense system, while reduced activity may highlight stress or damage.</w:t>
            </w:r>
          </w:p>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Testing the efficacy of treatments in enhancing stress tolerance or detoxifying ROS.</w:t>
            </w:r>
          </w:p>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Fonts w:ascii="Times New Roman" w:hAnsi="Times New Roman" w:cs="Times New Roman"/>
                <w:b/>
                <w:sz w:val="24"/>
                <w:szCs w:val="24"/>
              </w:rPr>
              <w:lastRenderedPageBreak/>
              <w:t>Conclusion</w:t>
            </w:r>
            <w:r w:rsidRPr="0064024F">
              <w:rPr>
                <w:rFonts w:ascii="Times New Roman" w:hAnsi="Times New Roman" w:cs="Times New Roman"/>
                <w:sz w:val="24"/>
                <w:szCs w:val="24"/>
              </w:rPr>
              <w:t>: Evaluates oxidative stress response and the plant’s ability to mitigate reactive oxygen species (ROS).</w:t>
            </w:r>
          </w:p>
          <w:p w:rsidR="005A7117" w:rsidRPr="0064024F" w:rsidRDefault="005A7117" w:rsidP="005A7117">
            <w:pPr>
              <w:spacing w:before="100" w:beforeAutospacing="1" w:after="100" w:afterAutospacing="1"/>
              <w:ind w:left="72"/>
              <w:jc w:val="both"/>
              <w:rPr>
                <w:rStyle w:val="Strong"/>
                <w:rFonts w:ascii="Times New Roman" w:hAnsi="Times New Roman" w:cs="Times New Roman"/>
                <w:sz w:val="24"/>
                <w:szCs w:val="24"/>
              </w:rPr>
            </w:pP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Analysis of H2O2 [UV Spectrophotometer]</w:t>
            </w:r>
          </w:p>
        </w:tc>
        <w:tc>
          <w:tcPr>
            <w:tcW w:w="4120" w:type="dxa"/>
          </w:tcPr>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Hydrogen peroxide (H2O2) is both a signaling molecule and a marker of oxidative stress.</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High H2O2 levels suggest stress, while moderate levels may indicate improved signaling and germination readiness.</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Evaluates the oxidative status of seeds or plants and the efficacy of stress-mitigating treatments.</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Indicates oxidative stress levels and the presence of ROS in seed or plant tissues.</w:t>
            </w:r>
          </w:p>
          <w:p w:rsidR="005A7117" w:rsidRPr="0064024F" w:rsidRDefault="005A7117" w:rsidP="005A7117">
            <w:pPr>
              <w:spacing w:before="100" w:beforeAutospacing="1" w:after="100" w:afterAutospacing="1"/>
              <w:ind w:left="72"/>
              <w:jc w:val="both"/>
              <w:rPr>
                <w:rStyle w:val="Strong"/>
                <w:rFonts w:ascii="Times New Roman" w:hAnsi="Times New Roman" w:cs="Times New Roman"/>
                <w:sz w:val="24"/>
                <w:szCs w:val="24"/>
              </w:rPr>
            </w:pP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Analysis of NO (Nitric Oxide) [UV Spectrophotometer]</w:t>
            </w:r>
          </w:p>
        </w:tc>
        <w:tc>
          <w:tcPr>
            <w:tcW w:w="4120" w:type="dxa"/>
          </w:tcPr>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Nitric oxide aids in breaking seed dormancy and initiating germination processes.</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Increased NO levels can signal dormancy break or enhanced metabolic activity during germination.</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Assess the role of treatments like plasma in overcoming seed dormancy.</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Determines nitric oxide’s role in alleviating seed dormancy and promoting germination.</w:t>
            </w:r>
          </w:p>
          <w:p w:rsidR="005A7117" w:rsidRPr="0064024F" w:rsidRDefault="005A7117" w:rsidP="005A7117">
            <w:pPr>
              <w:spacing w:before="100" w:beforeAutospacing="1" w:after="100" w:afterAutospacing="1"/>
              <w:ind w:left="72"/>
              <w:jc w:val="both"/>
              <w:rPr>
                <w:rStyle w:val="Strong"/>
                <w:rFonts w:ascii="Times New Roman" w:hAnsi="Times New Roman" w:cs="Times New Roman"/>
                <w:sz w:val="24"/>
                <w:szCs w:val="24"/>
              </w:rPr>
            </w:pPr>
          </w:p>
        </w:tc>
      </w:tr>
      <w:tr w:rsidR="00D743D4"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 xml:space="preserve">Total Soluble Protein Concentration [UV </w:t>
            </w:r>
            <w:r w:rsidRPr="0064024F">
              <w:rPr>
                <w:rStyle w:val="Strong"/>
                <w:rFonts w:ascii="Times New Roman" w:hAnsi="Times New Roman" w:cs="Times New Roman"/>
                <w:b/>
                <w:bCs w:val="0"/>
                <w:sz w:val="24"/>
                <w:szCs w:val="24"/>
              </w:rPr>
              <w:lastRenderedPageBreak/>
              <w:t>Spectrophotometer]</w:t>
            </w:r>
          </w:p>
        </w:tc>
        <w:tc>
          <w:tcPr>
            <w:tcW w:w="4120" w:type="dxa"/>
          </w:tcPr>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lastRenderedPageBreak/>
              <w:t>Significance</w:t>
            </w:r>
            <w:r w:rsidRPr="0064024F">
              <w:rPr>
                <w:rFonts w:ascii="Times New Roman" w:hAnsi="Times New Roman" w:cs="Times New Roman"/>
                <w:sz w:val="24"/>
                <w:szCs w:val="24"/>
              </w:rPr>
              <w:t xml:space="preserve">: Proteins are essential for metabolic activities and indicate </w:t>
            </w:r>
            <w:r w:rsidRPr="0064024F">
              <w:rPr>
                <w:rFonts w:ascii="Times New Roman" w:hAnsi="Times New Roman" w:cs="Times New Roman"/>
                <w:sz w:val="24"/>
                <w:szCs w:val="24"/>
              </w:rPr>
              <w:lastRenderedPageBreak/>
              <w:t>cellular health.</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Increased soluble protein levels suggest enhanced metabolism, while decreases may indicate damage or stress.</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Evaluates the nutritional and metabolic state of seeds or plants.</w:t>
            </w:r>
          </w:p>
          <w:p w:rsidR="005A7117" w:rsidRPr="0064024F" w:rsidRDefault="005A7117" w:rsidP="005A7117">
            <w:pPr>
              <w:spacing w:before="100" w:beforeAutospacing="1" w:after="100" w:afterAutospacing="1"/>
              <w:ind w:left="67"/>
              <w:rPr>
                <w:rFonts w:ascii="Times New Roman" w:hAnsi="Times New Roman" w:cs="Times New Roman"/>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xml:space="preserve"> Reflects overall metabolic activity and protein synthesis in seeds or plants.</w:t>
            </w:r>
          </w:p>
          <w:p w:rsidR="005A7117" w:rsidRPr="0064024F" w:rsidRDefault="005A7117" w:rsidP="005A7117">
            <w:pPr>
              <w:spacing w:before="100" w:beforeAutospacing="1" w:after="100" w:afterAutospacing="1"/>
              <w:ind w:left="67"/>
              <w:rPr>
                <w:rStyle w:val="Strong"/>
                <w:rFonts w:ascii="Times New Roman" w:hAnsi="Times New Roman" w:cs="Times New Roman"/>
                <w:sz w:val="24"/>
                <w:szCs w:val="24"/>
              </w:rPr>
            </w:pPr>
          </w:p>
        </w:tc>
      </w:tr>
      <w:tr w:rsidR="00D743D4"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Grain Protein Concentration [UV Spectrophotometer]</w:t>
            </w:r>
          </w:p>
        </w:tc>
        <w:tc>
          <w:tcPr>
            <w:tcW w:w="4120" w:type="dxa"/>
          </w:tcPr>
          <w:p w:rsidR="005A7117" w:rsidRPr="0064024F" w:rsidRDefault="005A7117" w:rsidP="005A7117">
            <w:pPr>
              <w:spacing w:before="100" w:beforeAutospacing="1" w:after="100" w:afterAutospacing="1"/>
              <w:ind w:left="71"/>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Grain protein content is a key nutritional and quality parameter for crops like wheat, rice, or legumes.</w:t>
            </w:r>
          </w:p>
          <w:p w:rsidR="005A7117" w:rsidRPr="0064024F" w:rsidRDefault="005A7117" w:rsidP="005A7117">
            <w:pPr>
              <w:spacing w:before="100" w:beforeAutospacing="1" w:after="100" w:afterAutospacing="1"/>
              <w:ind w:left="71"/>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Variations in protein content can result from genetic, environmental, or treatment factors.</w:t>
            </w:r>
          </w:p>
          <w:p w:rsidR="005A7117" w:rsidRPr="0064024F" w:rsidRDefault="005A7117" w:rsidP="005A7117">
            <w:pPr>
              <w:spacing w:before="100" w:beforeAutospacing="1" w:after="100" w:afterAutospacing="1"/>
              <w:ind w:left="71"/>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Enhancing crop quality or assessing the impact of treatments on nutritional content.</w:t>
            </w:r>
          </w:p>
          <w:p w:rsidR="005A7117" w:rsidRPr="0064024F" w:rsidRDefault="005A7117" w:rsidP="005A7117">
            <w:pPr>
              <w:spacing w:before="100" w:beforeAutospacing="1" w:after="100" w:afterAutospacing="1"/>
              <w:ind w:left="71"/>
              <w:rPr>
                <w:rFonts w:ascii="Times New Roman" w:hAnsi="Times New Roman" w:cs="Times New Roman"/>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Assesses nutritional quality and protein content of grains.</w:t>
            </w:r>
          </w:p>
          <w:p w:rsidR="005A7117" w:rsidRPr="0064024F" w:rsidRDefault="005A7117" w:rsidP="005A7117">
            <w:pPr>
              <w:spacing w:before="100" w:beforeAutospacing="1" w:after="100" w:afterAutospacing="1"/>
              <w:ind w:left="67"/>
              <w:rPr>
                <w:rStyle w:val="Strong"/>
                <w:rFonts w:ascii="Times New Roman" w:hAnsi="Times New Roman" w:cs="Times New Roman"/>
                <w:sz w:val="24"/>
                <w:szCs w:val="24"/>
              </w:rPr>
            </w:pP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Total Soluble Sugar Concentration [UV Spectrophotometer]</w:t>
            </w:r>
          </w:p>
        </w:tc>
        <w:tc>
          <w:tcPr>
            <w:tcW w:w="4120" w:type="dxa"/>
          </w:tcPr>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Sugars provide energy for metabolic processes, especially during germination.</w:t>
            </w:r>
          </w:p>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Higher sugar levels may indicate enhanced energy reserves or metabolic activity.</w:t>
            </w:r>
          </w:p>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Useful in studying energy metabolism during early seedling growth.</w:t>
            </w:r>
          </w:p>
          <w:p w:rsidR="005A7117" w:rsidRPr="0064024F" w:rsidRDefault="005A7117" w:rsidP="005A7117">
            <w:pPr>
              <w:spacing w:before="100" w:beforeAutospacing="1" w:after="100" w:afterAutospacing="1"/>
              <w:ind w:left="67"/>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xml:space="preserve">: Indicates energy availability for metabolic processes </w:t>
            </w:r>
            <w:r w:rsidRPr="0064024F">
              <w:rPr>
                <w:rFonts w:ascii="Times New Roman" w:hAnsi="Times New Roman" w:cs="Times New Roman"/>
                <w:sz w:val="24"/>
                <w:szCs w:val="24"/>
              </w:rPr>
              <w:lastRenderedPageBreak/>
              <w:t>during seed germination or plant growth.</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Trace Elements (Fe, Zn, Mn) [AAS/AOAC Method]</w:t>
            </w:r>
          </w:p>
        </w:tc>
        <w:tc>
          <w:tcPr>
            <w:tcW w:w="4120" w:type="dxa"/>
          </w:tcPr>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Micronutrients like Fe, Zn, and Mn are essential for enzyme activity, photosynthesis, and overall plant health.</w:t>
            </w:r>
          </w:p>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Deficiencies or toxicities in these elements can be identified to guide nutrient management.</w:t>
            </w:r>
          </w:p>
          <w:p w:rsidR="005A7117" w:rsidRPr="0064024F" w:rsidRDefault="005A7117" w:rsidP="005A7117">
            <w:pPr>
              <w:spacing w:before="100" w:beforeAutospacing="1" w:after="100" w:afterAutospacing="1"/>
              <w:ind w:left="72"/>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Improves fertilizer strategies or evaluates the nutritional content of seeds.</w:t>
            </w:r>
          </w:p>
          <w:p w:rsidR="005A7117" w:rsidRPr="0064024F" w:rsidRDefault="005A7117" w:rsidP="005A7117">
            <w:pPr>
              <w:spacing w:before="100" w:beforeAutospacing="1" w:after="100" w:afterAutospacing="1"/>
              <w:ind w:left="72"/>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Measures essential micronutrients crucial for seed development and enzyme functions.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Moisture Content/Wettability [AOAC Method]</w:t>
            </w:r>
          </w:p>
        </w:tc>
        <w:tc>
          <w:tcPr>
            <w:tcW w:w="4120" w:type="dxa"/>
          </w:tcPr>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Indicates water-holding capacity, critical for seed viability and storage stability.</w:t>
            </w:r>
          </w:p>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Optimal moisture content prevents spoilage and enhances germination potential.</w:t>
            </w:r>
          </w:p>
          <w:p w:rsidR="005A7117" w:rsidRPr="0064024F" w:rsidRDefault="005A7117" w:rsidP="005A7117">
            <w:pPr>
              <w:spacing w:before="100" w:beforeAutospacing="1" w:after="100" w:afterAutospacing="1"/>
              <w:ind w:left="67"/>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Determines seed storage conditions and shelf life.</w:t>
            </w:r>
          </w:p>
          <w:p w:rsidR="005A7117" w:rsidRPr="0064024F" w:rsidRDefault="005A7117" w:rsidP="005A7117">
            <w:pPr>
              <w:spacing w:before="100" w:beforeAutospacing="1" w:after="100" w:afterAutospacing="1"/>
              <w:ind w:left="67"/>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Determines seed hydration levels, storage stability, and imbibition rates.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Carbohydrates/Fatty Acids [AOAC Method]</w:t>
            </w:r>
          </w:p>
        </w:tc>
        <w:tc>
          <w:tcPr>
            <w:tcW w:w="4120" w:type="dxa"/>
          </w:tcPr>
          <w:p w:rsidR="005A7117" w:rsidRPr="0064024F" w:rsidRDefault="005A7117" w:rsidP="005A7117">
            <w:pPr>
              <w:spacing w:before="100" w:beforeAutospacing="1" w:after="100" w:afterAutospacing="1"/>
              <w:ind w:left="127"/>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Carbohydrates are energy reserves, while fatty acids contribute to structural components and energy storage.</w:t>
            </w:r>
          </w:p>
          <w:p w:rsidR="005A7117" w:rsidRPr="0064024F" w:rsidRDefault="005A7117" w:rsidP="005A7117">
            <w:pPr>
              <w:spacing w:before="100" w:beforeAutospacing="1" w:after="100" w:afterAutospacing="1"/>
              <w:ind w:left="127"/>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Changes indicate shifts in metabolic reserves or responses to treatments.</w:t>
            </w:r>
          </w:p>
          <w:p w:rsidR="005A7117" w:rsidRPr="0064024F" w:rsidRDefault="005A7117" w:rsidP="005A7117">
            <w:pPr>
              <w:spacing w:before="100" w:beforeAutospacing="1" w:after="100" w:afterAutospacing="1"/>
              <w:ind w:left="127"/>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Evaluates energy content and potential seed longevity.</w:t>
            </w:r>
          </w:p>
          <w:p w:rsidR="005A7117" w:rsidRPr="0064024F" w:rsidRDefault="005A7117" w:rsidP="005A7117">
            <w:pPr>
              <w:spacing w:before="100" w:beforeAutospacing="1" w:after="100" w:afterAutospacing="1"/>
              <w:ind w:left="127"/>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lastRenderedPageBreak/>
              <w:t>Conclusion</w:t>
            </w:r>
            <w:r w:rsidRPr="0064024F">
              <w:rPr>
                <w:rFonts w:ascii="Times New Roman" w:hAnsi="Times New Roman" w:cs="Times New Roman"/>
                <w:sz w:val="24"/>
                <w:szCs w:val="24"/>
              </w:rPr>
              <w:t>: Evaluates energy reserves and quality of stored nutrients in seeds.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Gene Expression/DNA Studies</w:t>
            </w:r>
          </w:p>
        </w:tc>
        <w:tc>
          <w:tcPr>
            <w:tcW w:w="4120" w:type="dxa"/>
          </w:tcPr>
          <w:p w:rsidR="005A7117" w:rsidRPr="0064024F" w:rsidRDefault="005A7117" w:rsidP="005A7117">
            <w:pPr>
              <w:spacing w:before="100" w:beforeAutospacing="1" w:after="100" w:afterAutospacing="1"/>
              <w:ind w:left="38"/>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Provides insights into the molecular mechanisms governing growth, stress response, or treatment effects.</w:t>
            </w:r>
          </w:p>
          <w:p w:rsidR="005A7117" w:rsidRPr="0064024F" w:rsidRDefault="005A7117" w:rsidP="005A7117">
            <w:pPr>
              <w:spacing w:before="100" w:beforeAutospacing="1" w:after="100" w:afterAutospacing="1"/>
              <w:ind w:left="38"/>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Upregulated or downregulated genes indicate specific biological responses.</w:t>
            </w:r>
          </w:p>
          <w:p w:rsidR="005A7117" w:rsidRPr="0064024F" w:rsidRDefault="005A7117" w:rsidP="005A7117">
            <w:pPr>
              <w:spacing w:before="100" w:beforeAutospacing="1" w:after="100" w:afterAutospacing="1"/>
              <w:ind w:left="38"/>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Understanding treatment-induced molecular changes.</w:t>
            </w:r>
          </w:p>
          <w:p w:rsidR="005A7117" w:rsidRPr="0064024F" w:rsidRDefault="005A7117" w:rsidP="005A7117">
            <w:pPr>
              <w:spacing w:before="100" w:beforeAutospacing="1" w:after="100" w:afterAutospacing="1"/>
              <w:ind w:left="38"/>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Provides molecular-level insights into gene activity, replication, and DNA repair mechanisms.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Enzyme Activity (ADH, Lactate DH, Succinate DH)</w:t>
            </w:r>
          </w:p>
        </w:tc>
        <w:tc>
          <w:tcPr>
            <w:tcW w:w="4120" w:type="dxa"/>
          </w:tcPr>
          <w:p w:rsidR="005A7117" w:rsidRPr="0064024F" w:rsidRDefault="005A7117" w:rsidP="005A7117">
            <w:pPr>
              <w:spacing w:before="100" w:beforeAutospacing="1" w:after="100" w:afterAutospacing="1"/>
              <w:ind w:left="124"/>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These enzymes are linked to respiration and energy production during germination.</w:t>
            </w:r>
          </w:p>
          <w:p w:rsidR="005A7117" w:rsidRPr="0064024F" w:rsidRDefault="005A7117" w:rsidP="005A7117">
            <w:pPr>
              <w:spacing w:before="100" w:beforeAutospacing="1" w:after="100" w:afterAutospacing="1"/>
              <w:ind w:left="124"/>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Enhanced activity suggests improved energy metabolism.</w:t>
            </w:r>
          </w:p>
          <w:p w:rsidR="005A7117" w:rsidRPr="0064024F" w:rsidRDefault="005A7117" w:rsidP="005A7117">
            <w:pPr>
              <w:spacing w:before="100" w:beforeAutospacing="1" w:after="100" w:afterAutospacing="1"/>
              <w:ind w:left="124"/>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Analyzing seed metabolic health.</w:t>
            </w:r>
          </w:p>
          <w:p w:rsidR="005A7117" w:rsidRPr="0064024F" w:rsidRDefault="005A7117" w:rsidP="005A7117">
            <w:pPr>
              <w:spacing w:before="100" w:beforeAutospacing="1" w:after="100" w:afterAutospacing="1"/>
              <w:ind w:left="124"/>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Identifies enzyme activity related to anaerobic respiration and seed germination efficiency.</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Lytic Enzymes Assessment</w:t>
            </w:r>
          </w:p>
        </w:tc>
        <w:tc>
          <w:tcPr>
            <w:tcW w:w="4120" w:type="dxa"/>
          </w:tcPr>
          <w:p w:rsidR="005A7117" w:rsidRPr="0064024F" w:rsidRDefault="005A7117" w:rsidP="005A7117">
            <w:pPr>
              <w:spacing w:before="100" w:beforeAutospacing="1" w:after="100" w:afterAutospacing="1"/>
              <w:ind w:left="124"/>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Lytic enzymes break down cell walls or stored nutrients during germination.</w:t>
            </w:r>
          </w:p>
          <w:p w:rsidR="005A7117" w:rsidRPr="0064024F" w:rsidRDefault="005A7117" w:rsidP="005A7117">
            <w:pPr>
              <w:spacing w:before="100" w:beforeAutospacing="1" w:after="100" w:afterAutospacing="1"/>
              <w:ind w:left="124"/>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Higher activity correlates with faster germination.</w:t>
            </w:r>
          </w:p>
          <w:p w:rsidR="005A7117" w:rsidRPr="0064024F" w:rsidRDefault="005A7117" w:rsidP="005A7117">
            <w:pPr>
              <w:spacing w:before="100" w:beforeAutospacing="1" w:after="100" w:afterAutospacing="1"/>
              <w:ind w:left="124"/>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Evaluating seed viability and germination-promoting treatments.</w:t>
            </w:r>
          </w:p>
          <w:p w:rsidR="005A7117" w:rsidRPr="0064024F" w:rsidRDefault="005A7117" w:rsidP="005A7117">
            <w:pPr>
              <w:spacing w:before="100" w:beforeAutospacing="1" w:after="100" w:afterAutospacing="1"/>
              <w:ind w:left="124"/>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Indicates activity of enzymes breaking down cellular components, influencing germination and stress responses.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Amino Acid Content</w:t>
            </w:r>
          </w:p>
        </w:tc>
        <w:tc>
          <w:tcPr>
            <w:tcW w:w="4120" w:type="dxa"/>
          </w:tcPr>
          <w:p w:rsidR="005A7117" w:rsidRPr="0064024F" w:rsidRDefault="005A7117" w:rsidP="005A7117">
            <w:pPr>
              <w:spacing w:before="100" w:beforeAutospacing="1" w:after="100" w:afterAutospacing="1"/>
              <w:ind w:left="34"/>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Amino acids are building blocks of proteins and indicators of nitrogen metabolism.</w:t>
            </w:r>
          </w:p>
          <w:p w:rsidR="005A7117" w:rsidRPr="0064024F" w:rsidRDefault="005A7117" w:rsidP="005A7117">
            <w:pPr>
              <w:spacing w:before="100" w:beforeAutospacing="1" w:after="100" w:afterAutospacing="1"/>
              <w:ind w:left="34"/>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Variations reflect metabolic activity or stress responses.</w:t>
            </w:r>
          </w:p>
          <w:p w:rsidR="005A7117" w:rsidRPr="0064024F" w:rsidRDefault="005A7117" w:rsidP="005A7117">
            <w:pPr>
              <w:spacing w:before="100" w:beforeAutospacing="1" w:after="100" w:afterAutospacing="1"/>
              <w:ind w:left="34"/>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Nutritional profiling or stress analysis.</w:t>
            </w:r>
          </w:p>
          <w:p w:rsidR="005A7117" w:rsidRPr="0064024F" w:rsidRDefault="005A7117" w:rsidP="005A7117">
            <w:pPr>
              <w:spacing w:before="100" w:beforeAutospacing="1" w:after="100" w:afterAutospacing="1"/>
              <w:ind w:left="34"/>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Reflects protein synthesis potential and nitrogen metabolism in seeds.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Secondary Metabolites (Flavonoids, Ethylene, etc.)</w:t>
            </w:r>
          </w:p>
        </w:tc>
        <w:tc>
          <w:tcPr>
            <w:tcW w:w="4120" w:type="dxa"/>
          </w:tcPr>
          <w:p w:rsidR="005A7117" w:rsidRPr="0064024F" w:rsidRDefault="005A7117" w:rsidP="005A7117">
            <w:pPr>
              <w:spacing w:before="100" w:beforeAutospacing="1" w:after="100" w:afterAutospacing="1"/>
              <w:ind w:left="34"/>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Secondary metabolites play roles in stress resistance, growth regulation, and defense.</w:t>
            </w:r>
          </w:p>
          <w:p w:rsidR="005A7117" w:rsidRPr="0064024F" w:rsidRDefault="005A7117" w:rsidP="005A7117">
            <w:pPr>
              <w:spacing w:before="100" w:beforeAutospacing="1" w:after="100" w:afterAutospacing="1"/>
              <w:ind w:left="34"/>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Changes indicate adaptive responses or treatment effects.</w:t>
            </w:r>
          </w:p>
          <w:p w:rsidR="005A7117" w:rsidRPr="0064024F" w:rsidRDefault="005A7117" w:rsidP="005A7117">
            <w:pPr>
              <w:spacing w:before="100" w:beforeAutospacing="1" w:after="100" w:afterAutospacing="1"/>
              <w:ind w:left="34"/>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Enhancing stress tolerance or plant health.</w:t>
            </w:r>
          </w:p>
          <w:p w:rsidR="005A7117" w:rsidRPr="0064024F" w:rsidRDefault="005A7117" w:rsidP="005A7117">
            <w:pPr>
              <w:spacing w:before="100" w:beforeAutospacing="1" w:after="100" w:afterAutospacing="1"/>
              <w:ind w:left="34"/>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Highlights plant defense mechanisms, stress responses, and growth regulation.</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Hormone Content</w:t>
            </w:r>
          </w:p>
        </w:tc>
        <w:tc>
          <w:tcPr>
            <w:tcW w:w="4120" w:type="dxa"/>
          </w:tcPr>
          <w:p w:rsidR="005A7117" w:rsidRPr="0064024F" w:rsidRDefault="005A7117" w:rsidP="005A7117">
            <w:pPr>
              <w:spacing w:before="100" w:beforeAutospacing="1" w:after="100" w:afterAutospacing="1"/>
              <w:ind w:left="125"/>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Hormones regulate germination, growth, and stress responses.</w:t>
            </w:r>
          </w:p>
          <w:p w:rsidR="005A7117" w:rsidRPr="0064024F" w:rsidRDefault="005A7117" w:rsidP="005A7117">
            <w:pPr>
              <w:spacing w:before="100" w:beforeAutospacing="1" w:after="100" w:afterAutospacing="1"/>
              <w:ind w:left="125"/>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Variations in hormone levels signal changes in physiological status.</w:t>
            </w:r>
          </w:p>
          <w:p w:rsidR="005A7117" w:rsidRPr="0064024F" w:rsidRDefault="005A7117" w:rsidP="005A7117">
            <w:pPr>
              <w:spacing w:before="100" w:beforeAutospacing="1" w:after="100" w:afterAutospacing="1"/>
              <w:ind w:left="125"/>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Studying treatment effects on hormonal regulation.</w:t>
            </w:r>
          </w:p>
          <w:p w:rsidR="005A7117" w:rsidRPr="0064024F" w:rsidRDefault="005A7117" w:rsidP="005A7117">
            <w:pPr>
              <w:spacing w:before="100" w:beforeAutospacing="1" w:after="100" w:afterAutospacing="1"/>
              <w:ind w:left="125"/>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Provides information on hormonal balance and its role in seed germination, growth, and development.</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Pigmentation/Carotenoids [HPLC]</w:t>
            </w:r>
          </w:p>
        </w:tc>
        <w:tc>
          <w:tcPr>
            <w:tcW w:w="4120" w:type="dxa"/>
          </w:tcPr>
          <w:p w:rsidR="005A7117" w:rsidRPr="0064024F" w:rsidRDefault="005A7117" w:rsidP="005A7117">
            <w:pPr>
              <w:spacing w:before="100" w:beforeAutospacing="1" w:after="100" w:afterAutospacing="1"/>
              <w:ind w:left="89"/>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Pigments like carotenoids are linked to antioxidative properties and aesthetic value.</w:t>
            </w:r>
          </w:p>
          <w:p w:rsidR="005A7117" w:rsidRPr="0064024F" w:rsidRDefault="005A7117" w:rsidP="005A7117">
            <w:pPr>
              <w:spacing w:before="100" w:beforeAutospacing="1" w:after="100" w:afterAutospacing="1"/>
              <w:ind w:left="89"/>
              <w:jc w:val="both"/>
              <w:rPr>
                <w:rFonts w:ascii="Times New Roman" w:hAnsi="Times New Roman" w:cs="Times New Roman"/>
                <w:sz w:val="24"/>
                <w:szCs w:val="24"/>
              </w:rPr>
            </w:pPr>
            <w:r w:rsidRPr="0064024F">
              <w:rPr>
                <w:rStyle w:val="Strong"/>
                <w:rFonts w:ascii="Times New Roman" w:hAnsi="Times New Roman" w:cs="Times New Roman"/>
                <w:sz w:val="24"/>
                <w:szCs w:val="24"/>
              </w:rPr>
              <w:lastRenderedPageBreak/>
              <w:t>What to Look For</w:t>
            </w:r>
            <w:r w:rsidRPr="0064024F">
              <w:rPr>
                <w:rFonts w:ascii="Times New Roman" w:hAnsi="Times New Roman" w:cs="Times New Roman"/>
                <w:sz w:val="24"/>
                <w:szCs w:val="24"/>
              </w:rPr>
              <w:t>: Increased pigment levels indicate enhanced antioxidant capacity.</w:t>
            </w:r>
          </w:p>
          <w:p w:rsidR="005A7117" w:rsidRPr="0064024F" w:rsidRDefault="005A7117" w:rsidP="005A7117">
            <w:pPr>
              <w:spacing w:before="100" w:beforeAutospacing="1" w:after="100" w:afterAutospacing="1"/>
              <w:ind w:left="89"/>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Improving crop quality or studying stress responses.</w:t>
            </w:r>
          </w:p>
          <w:p w:rsidR="005A7117" w:rsidRPr="0064024F" w:rsidRDefault="005A7117" w:rsidP="005A7117">
            <w:pPr>
              <w:spacing w:before="100" w:beforeAutospacing="1" w:after="100" w:afterAutospacing="1"/>
              <w:ind w:left="89"/>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Measures pigment concentration, which is linked to antioxidant properties and visual quality of seeds or plants.</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Microbial Inactivation [SEM]</w:t>
            </w:r>
          </w:p>
        </w:tc>
        <w:tc>
          <w:tcPr>
            <w:tcW w:w="4120" w:type="dxa"/>
          </w:tcPr>
          <w:p w:rsidR="005A7117" w:rsidRPr="0064024F" w:rsidRDefault="005A7117" w:rsidP="005A7117">
            <w:pPr>
              <w:spacing w:before="100" w:beforeAutospacing="1" w:after="100" w:afterAutospacing="1"/>
              <w:ind w:left="89"/>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Reducing microbial contamination improves seed safety and quality.</w:t>
            </w:r>
          </w:p>
          <w:p w:rsidR="005A7117" w:rsidRPr="0064024F" w:rsidRDefault="005A7117" w:rsidP="005A7117">
            <w:pPr>
              <w:spacing w:before="100" w:beforeAutospacing="1" w:after="100" w:afterAutospacing="1"/>
              <w:ind w:left="89"/>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Absence or reduced microbial structures under SEM.</w:t>
            </w:r>
          </w:p>
          <w:p w:rsidR="005A7117" w:rsidRPr="0064024F" w:rsidRDefault="005A7117" w:rsidP="005A7117">
            <w:pPr>
              <w:spacing w:before="100" w:beforeAutospacing="1" w:after="100" w:afterAutospacing="1"/>
              <w:ind w:left="89"/>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Evaluating sterilization techniques.</w:t>
            </w:r>
          </w:p>
          <w:p w:rsidR="005A7117" w:rsidRPr="0064024F" w:rsidRDefault="005A7117" w:rsidP="005A7117">
            <w:pPr>
              <w:spacing w:before="100" w:beforeAutospacing="1" w:after="100" w:afterAutospacing="1"/>
              <w:ind w:left="89"/>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Evaluates the effectiveness of sterilization or plasma treatment in reducing microbial load.</w:t>
            </w:r>
          </w:p>
        </w:tc>
      </w:tr>
      <w:tr w:rsidR="00D743D4"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Total Phenol Content</w:t>
            </w:r>
          </w:p>
        </w:tc>
        <w:tc>
          <w:tcPr>
            <w:tcW w:w="4120" w:type="dxa"/>
          </w:tcPr>
          <w:p w:rsidR="005A7117" w:rsidRPr="0064024F" w:rsidRDefault="005A7117" w:rsidP="005A7117">
            <w:pPr>
              <w:spacing w:before="100" w:beforeAutospacing="1" w:after="100" w:afterAutospacing="1"/>
              <w:ind w:left="84"/>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Phenols act as antioxidants and defense compounds.</w:t>
            </w:r>
          </w:p>
          <w:p w:rsidR="005A7117" w:rsidRPr="0064024F" w:rsidRDefault="005A7117" w:rsidP="005A7117">
            <w:pPr>
              <w:spacing w:before="100" w:beforeAutospacing="1" w:after="100" w:afterAutospacing="1"/>
              <w:ind w:left="84"/>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Higher phenol content correlates with improved stress tolerance.</w:t>
            </w:r>
          </w:p>
          <w:p w:rsidR="005A7117" w:rsidRPr="0064024F" w:rsidRDefault="005A7117" w:rsidP="005A7117">
            <w:pPr>
              <w:spacing w:before="100" w:beforeAutospacing="1" w:after="100" w:afterAutospacing="1"/>
              <w:ind w:left="84"/>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Enhancing plant resilience.</w:t>
            </w:r>
          </w:p>
          <w:p w:rsidR="005A7117" w:rsidRPr="0064024F" w:rsidRDefault="005A7117" w:rsidP="005A7117">
            <w:pPr>
              <w:spacing w:before="100" w:beforeAutospacing="1" w:after="100" w:afterAutospacing="1"/>
              <w:ind w:left="84"/>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Assesses antioxidant properties and the plant's defense mechanisms against oxidative stress.</w:t>
            </w:r>
          </w:p>
        </w:tc>
      </w:tr>
      <w:tr w:rsidR="00D743D4"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spacing w:before="0"/>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Oil Yield &amp; Characterization</w:t>
            </w:r>
          </w:p>
        </w:tc>
        <w:tc>
          <w:tcPr>
            <w:tcW w:w="4120" w:type="dxa"/>
          </w:tcPr>
          <w:p w:rsidR="005A7117" w:rsidRPr="0064024F" w:rsidRDefault="005A7117" w:rsidP="005A7117">
            <w:pPr>
              <w:spacing w:before="100" w:beforeAutospacing="1" w:after="100" w:afterAutospacing="1"/>
              <w:ind w:left="86"/>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Determines oil quantity and quality, critical for oilseed crops.</w:t>
            </w:r>
          </w:p>
          <w:p w:rsidR="005A7117" w:rsidRPr="0064024F" w:rsidRDefault="005A7117" w:rsidP="005A7117">
            <w:pPr>
              <w:spacing w:before="100" w:beforeAutospacing="1" w:after="100" w:afterAutospacing="1"/>
              <w:ind w:left="86"/>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Variations in yield or composition due to treatments.</w:t>
            </w:r>
          </w:p>
          <w:p w:rsidR="005A7117" w:rsidRPr="0064024F" w:rsidRDefault="005A7117" w:rsidP="005A7117">
            <w:pPr>
              <w:spacing w:before="100" w:beforeAutospacing="1" w:after="100" w:afterAutospacing="1"/>
              <w:ind w:left="86"/>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xml:space="preserve">: Optimizing oilseed crop </w:t>
            </w:r>
            <w:r w:rsidRPr="0064024F">
              <w:rPr>
                <w:rFonts w:ascii="Times New Roman" w:hAnsi="Times New Roman" w:cs="Times New Roman"/>
                <w:sz w:val="24"/>
                <w:szCs w:val="24"/>
              </w:rPr>
              <w:lastRenderedPageBreak/>
              <w:t>management.</w:t>
            </w:r>
          </w:p>
          <w:p w:rsidR="005A7117" w:rsidRPr="0064024F" w:rsidRDefault="005A7117" w:rsidP="005A7117">
            <w:pPr>
              <w:spacing w:before="100" w:beforeAutospacing="1" w:after="100" w:afterAutospacing="1"/>
              <w:ind w:left="86"/>
              <w:jc w:val="both"/>
              <w:rPr>
                <w:rStyle w:val="Strong"/>
                <w:rFonts w:ascii="Times New Roman" w:hAnsi="Times New Roman" w:cs="Times New Roman"/>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Determines the quality and quantity of oils produced by seeds, indicating their economic value</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spacing w:before="0"/>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Crude Fiber Content</w:t>
            </w:r>
          </w:p>
        </w:tc>
        <w:tc>
          <w:tcPr>
            <w:tcW w:w="4120" w:type="dxa"/>
          </w:tcPr>
          <w:p w:rsidR="005A7117" w:rsidRPr="0064024F" w:rsidRDefault="005A7117" w:rsidP="005A7117">
            <w:pPr>
              <w:spacing w:before="100" w:beforeAutospacing="1" w:after="100" w:afterAutospacing="1"/>
              <w:ind w:left="84"/>
              <w:jc w:val="both"/>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Reflects the structural components of seeds, affecting digestibility.</w:t>
            </w:r>
          </w:p>
          <w:p w:rsidR="005A7117" w:rsidRPr="0064024F" w:rsidRDefault="005A7117" w:rsidP="005A7117">
            <w:pPr>
              <w:spacing w:before="100" w:beforeAutospacing="1" w:after="100" w:afterAutospacing="1"/>
              <w:ind w:left="84"/>
              <w:jc w:val="both"/>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Higher fiber may enhance structural integrity but reduce palatability.</w:t>
            </w:r>
          </w:p>
          <w:p w:rsidR="005A7117" w:rsidRPr="0064024F" w:rsidRDefault="005A7117" w:rsidP="005A7117">
            <w:pPr>
              <w:spacing w:before="100" w:beforeAutospacing="1" w:after="100" w:afterAutospacing="1"/>
              <w:ind w:left="84"/>
              <w:jc w:val="both"/>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Assessing feed quality or crop resilience.</w:t>
            </w:r>
          </w:p>
          <w:p w:rsidR="005A7117" w:rsidRPr="0064024F" w:rsidRDefault="005A7117" w:rsidP="005A7117">
            <w:pPr>
              <w:spacing w:before="100" w:beforeAutospacing="1" w:after="100" w:afterAutospacing="1"/>
              <w:ind w:left="84"/>
              <w:jc w:val="both"/>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xml:space="preserve"> Reflects the structural carbohydrate content, which impacts seed digestibility and utilization.</w:t>
            </w:r>
          </w:p>
        </w:tc>
      </w:tr>
      <w:tr w:rsidR="005A7117" w:rsidRPr="0064024F" w:rsidTr="005A7117">
        <w:tc>
          <w:tcPr>
            <w:tcW w:w="958" w:type="dxa"/>
          </w:tcPr>
          <w:p w:rsidR="005A7117" w:rsidRPr="0064024F" w:rsidRDefault="005A7117" w:rsidP="00D743D4">
            <w:pPr>
              <w:pStyle w:val="Heading3"/>
              <w:numPr>
                <w:ilvl w:val="0"/>
                <w:numId w:val="28"/>
              </w:numPr>
              <w:outlineLvl w:val="2"/>
              <w:rPr>
                <w:rStyle w:val="Strong"/>
                <w:rFonts w:ascii="Times New Roman" w:hAnsi="Times New Roman" w:cs="Times New Roman"/>
                <w:b/>
                <w:bCs w:val="0"/>
                <w:sz w:val="24"/>
                <w:szCs w:val="24"/>
              </w:rPr>
            </w:pPr>
          </w:p>
        </w:tc>
        <w:tc>
          <w:tcPr>
            <w:tcW w:w="2950" w:type="dxa"/>
          </w:tcPr>
          <w:p w:rsidR="005A7117" w:rsidRPr="0064024F" w:rsidRDefault="005A7117" w:rsidP="005A7117">
            <w:pPr>
              <w:pStyle w:val="Heading3"/>
              <w:spacing w:before="0"/>
              <w:outlineLvl w:val="2"/>
              <w:rPr>
                <w:rStyle w:val="Strong"/>
                <w:rFonts w:ascii="Times New Roman" w:hAnsi="Times New Roman" w:cs="Times New Roman"/>
                <w:b/>
                <w:bCs w:val="0"/>
                <w:sz w:val="24"/>
                <w:szCs w:val="24"/>
              </w:rPr>
            </w:pPr>
            <w:r w:rsidRPr="0064024F">
              <w:rPr>
                <w:rStyle w:val="Strong"/>
                <w:rFonts w:ascii="Times New Roman" w:hAnsi="Times New Roman" w:cs="Times New Roman"/>
                <w:b/>
                <w:bCs w:val="0"/>
                <w:sz w:val="24"/>
                <w:szCs w:val="24"/>
              </w:rPr>
              <w:t>Vitamins/Allergens/Toxins</w:t>
            </w:r>
          </w:p>
        </w:tc>
        <w:tc>
          <w:tcPr>
            <w:tcW w:w="4120" w:type="dxa"/>
          </w:tcPr>
          <w:p w:rsidR="005A7117" w:rsidRPr="0064024F" w:rsidRDefault="005A7117" w:rsidP="005A7117">
            <w:pPr>
              <w:spacing w:before="100" w:beforeAutospacing="1"/>
              <w:ind w:left="360"/>
              <w:rPr>
                <w:rFonts w:ascii="Times New Roman" w:hAnsi="Times New Roman" w:cs="Times New Roman"/>
                <w:sz w:val="24"/>
                <w:szCs w:val="24"/>
              </w:rPr>
            </w:pPr>
            <w:r w:rsidRPr="0064024F">
              <w:rPr>
                <w:rStyle w:val="Strong"/>
                <w:rFonts w:ascii="Times New Roman" w:hAnsi="Times New Roman" w:cs="Times New Roman"/>
                <w:sz w:val="24"/>
                <w:szCs w:val="24"/>
              </w:rPr>
              <w:t>Significance</w:t>
            </w:r>
            <w:r w:rsidRPr="0064024F">
              <w:rPr>
                <w:rFonts w:ascii="Times New Roman" w:hAnsi="Times New Roman" w:cs="Times New Roman"/>
                <w:sz w:val="24"/>
                <w:szCs w:val="24"/>
              </w:rPr>
              <w:t>: Ensures safety and nutritional quality.</w:t>
            </w:r>
          </w:p>
          <w:p w:rsidR="005A7117" w:rsidRPr="0064024F" w:rsidRDefault="005A7117" w:rsidP="005A7117">
            <w:pPr>
              <w:spacing w:before="100" w:beforeAutospacing="1" w:after="100" w:afterAutospacing="1"/>
              <w:ind w:left="360"/>
              <w:rPr>
                <w:rFonts w:ascii="Times New Roman" w:hAnsi="Times New Roman" w:cs="Times New Roman"/>
                <w:sz w:val="24"/>
                <w:szCs w:val="24"/>
              </w:rPr>
            </w:pPr>
            <w:r w:rsidRPr="0064024F">
              <w:rPr>
                <w:rStyle w:val="Strong"/>
                <w:rFonts w:ascii="Times New Roman" w:hAnsi="Times New Roman" w:cs="Times New Roman"/>
                <w:sz w:val="24"/>
                <w:szCs w:val="24"/>
              </w:rPr>
              <w:t>What to Look For</w:t>
            </w:r>
            <w:r w:rsidRPr="0064024F">
              <w:rPr>
                <w:rFonts w:ascii="Times New Roman" w:hAnsi="Times New Roman" w:cs="Times New Roman"/>
                <w:sz w:val="24"/>
                <w:szCs w:val="24"/>
              </w:rPr>
              <w:t>: Higher vitamins indicate improved nutritional value; reduced allergens/toxins ensure safety.</w:t>
            </w:r>
          </w:p>
          <w:p w:rsidR="005A7117" w:rsidRPr="0064024F" w:rsidRDefault="005A7117" w:rsidP="005A7117">
            <w:pPr>
              <w:spacing w:before="100" w:beforeAutospacing="1" w:after="100" w:afterAutospacing="1"/>
              <w:ind w:left="360"/>
              <w:rPr>
                <w:rFonts w:ascii="Times New Roman" w:hAnsi="Times New Roman" w:cs="Times New Roman"/>
                <w:sz w:val="24"/>
                <w:szCs w:val="24"/>
              </w:rPr>
            </w:pPr>
            <w:r w:rsidRPr="0064024F">
              <w:rPr>
                <w:rStyle w:val="Strong"/>
                <w:rFonts w:ascii="Times New Roman" w:hAnsi="Times New Roman" w:cs="Times New Roman"/>
                <w:sz w:val="24"/>
                <w:szCs w:val="24"/>
              </w:rPr>
              <w:t>Applications</w:t>
            </w:r>
            <w:r w:rsidRPr="0064024F">
              <w:rPr>
                <w:rFonts w:ascii="Times New Roman" w:hAnsi="Times New Roman" w:cs="Times New Roman"/>
                <w:sz w:val="24"/>
                <w:szCs w:val="24"/>
              </w:rPr>
              <w:t>: Evaluating food safety and quality.</w:t>
            </w:r>
          </w:p>
          <w:p w:rsidR="005A7117" w:rsidRPr="0064024F" w:rsidRDefault="005A7117" w:rsidP="005A7117">
            <w:pPr>
              <w:spacing w:before="100" w:beforeAutospacing="1" w:after="100" w:afterAutospacing="1"/>
              <w:ind w:left="360"/>
              <w:rPr>
                <w:rStyle w:val="Strong"/>
                <w:rFonts w:ascii="Times New Roman" w:hAnsi="Times New Roman" w:cs="Times New Roman"/>
                <w:b w:val="0"/>
                <w:bCs w:val="0"/>
                <w:sz w:val="24"/>
                <w:szCs w:val="24"/>
              </w:rPr>
            </w:pPr>
            <w:r w:rsidRPr="0064024F">
              <w:rPr>
                <w:rFonts w:ascii="Times New Roman" w:hAnsi="Times New Roman" w:cs="Times New Roman"/>
                <w:b/>
                <w:sz w:val="24"/>
                <w:szCs w:val="24"/>
              </w:rPr>
              <w:t>Conclusion</w:t>
            </w:r>
            <w:r w:rsidRPr="0064024F">
              <w:rPr>
                <w:rFonts w:ascii="Times New Roman" w:hAnsi="Times New Roman" w:cs="Times New Roman"/>
                <w:sz w:val="24"/>
                <w:szCs w:val="24"/>
              </w:rPr>
              <w:t>: Identifies beneficial compounds like vitamins and harmful elements such as allergens or toxins, ensuring seed quality and safety.</w:t>
            </w:r>
          </w:p>
        </w:tc>
      </w:tr>
    </w:tbl>
    <w:p w:rsidR="005A7117" w:rsidRPr="005A7117" w:rsidRDefault="005A7117" w:rsidP="005A7117">
      <w:pPr>
        <w:rPr>
          <w:lang w:val="en-US"/>
        </w:rPr>
      </w:pPr>
    </w:p>
    <w:p w:rsidR="005A7117" w:rsidRDefault="005A7117" w:rsidP="005A7117">
      <w:pPr>
        <w:rPr>
          <w:lang w:val="en-US"/>
        </w:rPr>
      </w:pPr>
    </w:p>
    <w:p w:rsidR="00BE30AE" w:rsidRDefault="00BE30AE" w:rsidP="00BE30AE">
      <w:pPr>
        <w:spacing w:after="0"/>
      </w:pPr>
    </w:p>
    <w:p w:rsidR="00E46360" w:rsidRPr="00BE30AE" w:rsidRDefault="00E46360" w:rsidP="00BE30AE">
      <w:pPr>
        <w:rPr>
          <w:szCs w:val="20"/>
        </w:rPr>
      </w:pPr>
    </w:p>
    <w:sectPr w:rsidR="00E46360" w:rsidRPr="00BE30AE" w:rsidSect="005A7117">
      <w:headerReference w:type="default" r:id="rId8"/>
      <w:pgSz w:w="10080" w:h="14400"/>
      <w:pgMar w:top="851" w:right="1134" w:bottom="851" w:left="1134"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2715" w:rsidRDefault="00B62715" w:rsidP="005A7117">
      <w:pPr>
        <w:spacing w:after="0" w:line="240" w:lineRule="auto"/>
      </w:pPr>
      <w:r>
        <w:separator/>
      </w:r>
    </w:p>
  </w:endnote>
  <w:endnote w:type="continuationSeparator" w:id="1">
    <w:p w:rsidR="00B62715" w:rsidRDefault="00B62715" w:rsidP="005A71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Georgia">
    <w:panose1 w:val="02040502050405020303"/>
    <w:charset w:val="00"/>
    <w:family w:val="roman"/>
    <w:pitch w:val="variable"/>
    <w:sig w:usb0="00000287" w:usb1="00000000" w:usb2="00000000" w:usb3="00000000" w:csb0="0000009F" w:csb1="00000000"/>
  </w:font>
  <w:font w:name="Imprint MT Shadow">
    <w:panose1 w:val="040206050603030302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2715" w:rsidRDefault="00B62715" w:rsidP="005A7117">
      <w:pPr>
        <w:spacing w:after="0" w:line="240" w:lineRule="auto"/>
      </w:pPr>
      <w:r>
        <w:separator/>
      </w:r>
    </w:p>
  </w:footnote>
  <w:footnote w:type="continuationSeparator" w:id="1">
    <w:p w:rsidR="00B62715" w:rsidRDefault="00B62715" w:rsidP="005A711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117" w:rsidRDefault="005A7117" w:rsidP="005A7117">
    <w:pPr>
      <w:pStyle w:val="NormalWeb"/>
      <w:spacing w:before="0" w:beforeAutospacing="0" w:after="0" w:afterAutospacing="0"/>
      <w:jc w:val="center"/>
      <w:rPr>
        <w:rFonts w:ascii="Imprint MT Shadow" w:hAnsi="Imprint MT Shadow"/>
        <w:b/>
        <w:i/>
        <w:sz w:val="48"/>
        <w:szCs w:val="48"/>
        <w:u w:val="single"/>
      </w:rPr>
    </w:pPr>
    <w:r w:rsidRPr="00BE30AE">
      <w:rPr>
        <w:rFonts w:ascii="Imprint MT Shadow" w:hAnsi="Imprint MT Shadow"/>
        <w:b/>
        <w:i/>
        <w:sz w:val="48"/>
        <w:szCs w:val="48"/>
        <w:u w:val="single"/>
      </w:rPr>
      <w:t>BIO-CHEMICAL TEST</w:t>
    </w:r>
    <w:r>
      <w:rPr>
        <w:rFonts w:ascii="Imprint MT Shadow" w:hAnsi="Imprint MT Shadow"/>
        <w:b/>
        <w:i/>
        <w:sz w:val="48"/>
        <w:szCs w:val="48"/>
        <w:u w:val="single"/>
      </w:rPr>
      <w:t xml:space="preserve"> DETAILS</w:t>
    </w:r>
    <w:r w:rsidRPr="00BE30AE">
      <w:rPr>
        <w:rFonts w:ascii="Imprint MT Shadow" w:hAnsi="Imprint MT Shadow"/>
        <w:b/>
        <w:i/>
        <w:sz w:val="48"/>
        <w:szCs w:val="48"/>
        <w:u w:val="single"/>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A2A68"/>
    <w:multiLevelType w:val="multilevel"/>
    <w:tmpl w:val="47B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12742"/>
    <w:multiLevelType w:val="multilevel"/>
    <w:tmpl w:val="AD0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7A1C7B"/>
    <w:multiLevelType w:val="multilevel"/>
    <w:tmpl w:val="81DE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D030D5"/>
    <w:multiLevelType w:val="multilevel"/>
    <w:tmpl w:val="1FE6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14D78"/>
    <w:multiLevelType w:val="multilevel"/>
    <w:tmpl w:val="94E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842C06"/>
    <w:multiLevelType w:val="multilevel"/>
    <w:tmpl w:val="5C2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61248F"/>
    <w:multiLevelType w:val="multilevel"/>
    <w:tmpl w:val="72FA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B52FC6"/>
    <w:multiLevelType w:val="multilevel"/>
    <w:tmpl w:val="128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14257C"/>
    <w:multiLevelType w:val="multilevel"/>
    <w:tmpl w:val="797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5F2FDC"/>
    <w:multiLevelType w:val="multilevel"/>
    <w:tmpl w:val="AB9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A36405"/>
    <w:multiLevelType w:val="multilevel"/>
    <w:tmpl w:val="DCAC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8B3966"/>
    <w:multiLevelType w:val="multilevel"/>
    <w:tmpl w:val="740EDC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302B1F97"/>
    <w:multiLevelType w:val="multilevel"/>
    <w:tmpl w:val="15C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4B3AD0"/>
    <w:multiLevelType w:val="multilevel"/>
    <w:tmpl w:val="032A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AF0E37"/>
    <w:multiLevelType w:val="multilevel"/>
    <w:tmpl w:val="116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6E62C3"/>
    <w:multiLevelType w:val="hybridMultilevel"/>
    <w:tmpl w:val="18C00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F5E0EBB"/>
    <w:multiLevelType w:val="multilevel"/>
    <w:tmpl w:val="99D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F25038"/>
    <w:multiLevelType w:val="multilevel"/>
    <w:tmpl w:val="8B1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0D31D3"/>
    <w:multiLevelType w:val="multilevel"/>
    <w:tmpl w:val="340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E5650A"/>
    <w:multiLevelType w:val="multilevel"/>
    <w:tmpl w:val="DBD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70094F"/>
    <w:multiLevelType w:val="multilevel"/>
    <w:tmpl w:val="7B5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E21D9E"/>
    <w:multiLevelType w:val="multilevel"/>
    <w:tmpl w:val="FD2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0F173E"/>
    <w:multiLevelType w:val="multilevel"/>
    <w:tmpl w:val="C88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80404E"/>
    <w:multiLevelType w:val="hybridMultilevel"/>
    <w:tmpl w:val="7A4AD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E00FF9"/>
    <w:multiLevelType w:val="multilevel"/>
    <w:tmpl w:val="0E56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7B7652"/>
    <w:multiLevelType w:val="multilevel"/>
    <w:tmpl w:val="F15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977DD6"/>
    <w:multiLevelType w:val="multilevel"/>
    <w:tmpl w:val="A392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AD6622"/>
    <w:multiLevelType w:val="multilevel"/>
    <w:tmpl w:val="EB1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12"/>
  </w:num>
  <w:num w:numId="4">
    <w:abstractNumId w:val="7"/>
  </w:num>
  <w:num w:numId="5">
    <w:abstractNumId w:val="21"/>
  </w:num>
  <w:num w:numId="6">
    <w:abstractNumId w:val="27"/>
  </w:num>
  <w:num w:numId="7">
    <w:abstractNumId w:val="5"/>
  </w:num>
  <w:num w:numId="8">
    <w:abstractNumId w:val="22"/>
  </w:num>
  <w:num w:numId="9">
    <w:abstractNumId w:val="0"/>
  </w:num>
  <w:num w:numId="10">
    <w:abstractNumId w:val="25"/>
  </w:num>
  <w:num w:numId="11">
    <w:abstractNumId w:val="18"/>
  </w:num>
  <w:num w:numId="12">
    <w:abstractNumId w:val="4"/>
  </w:num>
  <w:num w:numId="13">
    <w:abstractNumId w:val="8"/>
  </w:num>
  <w:num w:numId="14">
    <w:abstractNumId w:val="2"/>
  </w:num>
  <w:num w:numId="15">
    <w:abstractNumId w:val="17"/>
  </w:num>
  <w:num w:numId="16">
    <w:abstractNumId w:val="9"/>
  </w:num>
  <w:num w:numId="17">
    <w:abstractNumId w:val="14"/>
  </w:num>
  <w:num w:numId="18">
    <w:abstractNumId w:val="16"/>
  </w:num>
  <w:num w:numId="19">
    <w:abstractNumId w:val="10"/>
  </w:num>
  <w:num w:numId="20">
    <w:abstractNumId w:val="26"/>
  </w:num>
  <w:num w:numId="21">
    <w:abstractNumId w:val="1"/>
  </w:num>
  <w:num w:numId="22">
    <w:abstractNumId w:val="3"/>
  </w:num>
  <w:num w:numId="23">
    <w:abstractNumId w:val="19"/>
  </w:num>
  <w:num w:numId="24">
    <w:abstractNumId w:val="24"/>
  </w:num>
  <w:num w:numId="25">
    <w:abstractNumId w:val="13"/>
  </w:num>
  <w:num w:numId="26">
    <w:abstractNumId w:val="20"/>
  </w:num>
  <w:num w:numId="27">
    <w:abstractNumId w:val="15"/>
  </w:num>
  <w:num w:numId="28">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46360"/>
    <w:rsid w:val="001058A0"/>
    <w:rsid w:val="003B1E55"/>
    <w:rsid w:val="004A4DC0"/>
    <w:rsid w:val="005A7117"/>
    <w:rsid w:val="0064024F"/>
    <w:rsid w:val="00B62715"/>
    <w:rsid w:val="00BE30AE"/>
    <w:rsid w:val="00C878A0"/>
    <w:rsid w:val="00CB4797"/>
    <w:rsid w:val="00D743D4"/>
    <w:rsid w:val="00E463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CEB"/>
  </w:style>
  <w:style w:type="paragraph" w:styleId="Heading1">
    <w:name w:val="heading 1"/>
    <w:basedOn w:val="normal0"/>
    <w:next w:val="normal0"/>
    <w:rsid w:val="00E46360"/>
    <w:pPr>
      <w:keepNext/>
      <w:keepLines/>
      <w:spacing w:before="480" w:after="120"/>
      <w:outlineLvl w:val="0"/>
    </w:pPr>
    <w:rPr>
      <w:b/>
      <w:sz w:val="48"/>
      <w:szCs w:val="48"/>
    </w:rPr>
  </w:style>
  <w:style w:type="paragraph" w:styleId="Heading2">
    <w:name w:val="heading 2"/>
    <w:basedOn w:val="normal0"/>
    <w:next w:val="normal0"/>
    <w:rsid w:val="00E46360"/>
    <w:pPr>
      <w:keepNext/>
      <w:keepLines/>
      <w:spacing w:before="360" w:after="80"/>
      <w:outlineLvl w:val="1"/>
    </w:pPr>
    <w:rPr>
      <w:b/>
      <w:sz w:val="36"/>
      <w:szCs w:val="36"/>
    </w:rPr>
  </w:style>
  <w:style w:type="paragraph" w:styleId="Heading3">
    <w:name w:val="heading 3"/>
    <w:basedOn w:val="normal0"/>
    <w:next w:val="normal0"/>
    <w:rsid w:val="00E46360"/>
    <w:pPr>
      <w:keepNext/>
      <w:keepLines/>
      <w:spacing w:before="280" w:after="80"/>
      <w:outlineLvl w:val="2"/>
    </w:pPr>
    <w:rPr>
      <w:b/>
      <w:sz w:val="28"/>
      <w:szCs w:val="28"/>
    </w:rPr>
  </w:style>
  <w:style w:type="paragraph" w:styleId="Heading4">
    <w:name w:val="heading 4"/>
    <w:basedOn w:val="normal0"/>
    <w:next w:val="normal0"/>
    <w:rsid w:val="00E46360"/>
    <w:pPr>
      <w:keepNext/>
      <w:keepLines/>
      <w:spacing w:before="240" w:after="40"/>
      <w:outlineLvl w:val="3"/>
    </w:pPr>
    <w:rPr>
      <w:b/>
      <w:sz w:val="24"/>
      <w:szCs w:val="24"/>
    </w:rPr>
  </w:style>
  <w:style w:type="paragraph" w:styleId="Heading5">
    <w:name w:val="heading 5"/>
    <w:basedOn w:val="normal0"/>
    <w:next w:val="normal0"/>
    <w:rsid w:val="00E46360"/>
    <w:pPr>
      <w:keepNext/>
      <w:keepLines/>
      <w:spacing w:before="220" w:after="40"/>
      <w:outlineLvl w:val="4"/>
    </w:pPr>
    <w:rPr>
      <w:b/>
    </w:rPr>
  </w:style>
  <w:style w:type="paragraph" w:styleId="Heading6">
    <w:name w:val="heading 6"/>
    <w:basedOn w:val="normal0"/>
    <w:next w:val="normal0"/>
    <w:rsid w:val="00E4636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E46360"/>
  </w:style>
  <w:style w:type="paragraph" w:styleId="Title">
    <w:name w:val="Title"/>
    <w:basedOn w:val="normal0"/>
    <w:next w:val="normal0"/>
    <w:rsid w:val="00E46360"/>
    <w:pPr>
      <w:keepNext/>
      <w:keepLines/>
      <w:spacing w:before="480" w:after="120"/>
    </w:pPr>
    <w:rPr>
      <w:b/>
      <w:sz w:val="72"/>
      <w:szCs w:val="72"/>
    </w:rPr>
  </w:style>
  <w:style w:type="character" w:styleId="Hyperlink">
    <w:name w:val="Hyperlink"/>
    <w:basedOn w:val="DefaultParagraphFont"/>
    <w:uiPriority w:val="99"/>
    <w:unhideWhenUsed/>
    <w:rsid w:val="007E73BB"/>
    <w:rPr>
      <w:color w:val="0000FF" w:themeColor="hyperlink"/>
      <w:u w:val="single"/>
    </w:rPr>
  </w:style>
  <w:style w:type="paragraph" w:styleId="BalloonText">
    <w:name w:val="Balloon Text"/>
    <w:basedOn w:val="Normal"/>
    <w:link w:val="BalloonTextChar"/>
    <w:uiPriority w:val="99"/>
    <w:semiHidden/>
    <w:unhideWhenUsed/>
    <w:rsid w:val="006908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8C3"/>
    <w:rPr>
      <w:rFonts w:ascii="Tahoma" w:hAnsi="Tahoma" w:cs="Tahoma"/>
      <w:sz w:val="16"/>
      <w:szCs w:val="16"/>
    </w:rPr>
  </w:style>
  <w:style w:type="character" w:styleId="CommentReference">
    <w:name w:val="annotation reference"/>
    <w:basedOn w:val="DefaultParagraphFont"/>
    <w:uiPriority w:val="99"/>
    <w:semiHidden/>
    <w:unhideWhenUsed/>
    <w:rsid w:val="000C4795"/>
    <w:rPr>
      <w:sz w:val="16"/>
      <w:szCs w:val="16"/>
    </w:rPr>
  </w:style>
  <w:style w:type="paragraph" w:styleId="CommentText">
    <w:name w:val="annotation text"/>
    <w:basedOn w:val="Normal"/>
    <w:link w:val="CommentTextChar"/>
    <w:uiPriority w:val="99"/>
    <w:unhideWhenUsed/>
    <w:rsid w:val="000C4795"/>
    <w:pPr>
      <w:spacing w:line="240" w:lineRule="auto"/>
    </w:pPr>
    <w:rPr>
      <w:sz w:val="20"/>
      <w:szCs w:val="20"/>
    </w:rPr>
  </w:style>
  <w:style w:type="character" w:customStyle="1" w:styleId="CommentTextChar">
    <w:name w:val="Comment Text Char"/>
    <w:basedOn w:val="DefaultParagraphFont"/>
    <w:link w:val="CommentText"/>
    <w:uiPriority w:val="99"/>
    <w:rsid w:val="000C4795"/>
    <w:rPr>
      <w:sz w:val="20"/>
      <w:szCs w:val="20"/>
    </w:rPr>
  </w:style>
  <w:style w:type="paragraph" w:styleId="CommentSubject">
    <w:name w:val="annotation subject"/>
    <w:basedOn w:val="CommentText"/>
    <w:next w:val="CommentText"/>
    <w:link w:val="CommentSubjectChar"/>
    <w:uiPriority w:val="99"/>
    <w:semiHidden/>
    <w:unhideWhenUsed/>
    <w:rsid w:val="000C4795"/>
    <w:rPr>
      <w:b/>
      <w:bCs/>
    </w:rPr>
  </w:style>
  <w:style w:type="character" w:customStyle="1" w:styleId="CommentSubjectChar">
    <w:name w:val="Comment Subject Char"/>
    <w:basedOn w:val="CommentTextChar"/>
    <w:link w:val="CommentSubject"/>
    <w:uiPriority w:val="99"/>
    <w:semiHidden/>
    <w:rsid w:val="000C4795"/>
    <w:rPr>
      <w:b/>
      <w:bCs/>
      <w:sz w:val="20"/>
      <w:szCs w:val="20"/>
    </w:rPr>
  </w:style>
  <w:style w:type="paragraph" w:styleId="Revision">
    <w:name w:val="Revision"/>
    <w:hidden/>
    <w:uiPriority w:val="99"/>
    <w:semiHidden/>
    <w:rsid w:val="00F83F8B"/>
    <w:pPr>
      <w:spacing w:after="0" w:line="240" w:lineRule="auto"/>
    </w:pPr>
  </w:style>
  <w:style w:type="paragraph" w:customStyle="1" w:styleId="references">
    <w:name w:val="references"/>
    <w:rsid w:val="00B37E91"/>
    <w:pPr>
      <w:tabs>
        <w:tab w:val="num" w:pos="720"/>
      </w:tabs>
      <w:spacing w:after="50" w:line="180" w:lineRule="exact"/>
      <w:ind w:left="720" w:hanging="720"/>
      <w:jc w:val="both"/>
    </w:pPr>
    <w:rPr>
      <w:rFonts w:ascii="Times New Roman" w:eastAsia="MS Mincho" w:hAnsi="Times New Roman" w:cs="Times New Roman"/>
      <w:noProof/>
      <w:sz w:val="16"/>
      <w:szCs w:val="16"/>
    </w:rPr>
  </w:style>
  <w:style w:type="paragraph" w:styleId="Subtitle">
    <w:name w:val="Subtitle"/>
    <w:basedOn w:val="Normal"/>
    <w:next w:val="Normal"/>
    <w:rsid w:val="00E46360"/>
    <w:pPr>
      <w:keepNext/>
      <w:keepLines/>
      <w:spacing w:before="360" w:after="80"/>
    </w:pPr>
    <w:rPr>
      <w:rFonts w:ascii="Georgia" w:eastAsia="Georgia" w:hAnsi="Georgia" w:cs="Georgia"/>
      <w:i/>
      <w:color w:val="666666"/>
      <w:sz w:val="48"/>
      <w:szCs w:val="48"/>
    </w:rPr>
  </w:style>
  <w:style w:type="table" w:customStyle="1" w:styleId="a">
    <w:basedOn w:val="TableNormal"/>
    <w:rsid w:val="00E46360"/>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E46360"/>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E46360"/>
    <w:tblPr>
      <w:tblStyleRowBandSize w:val="1"/>
      <w:tblStyleColBandSize w:val="1"/>
      <w:tblInd w:w="0" w:type="dxa"/>
      <w:tblCellMar>
        <w:top w:w="100" w:type="dxa"/>
        <w:left w:w="100" w:type="dxa"/>
        <w:bottom w:w="100" w:type="dxa"/>
        <w:right w:w="100" w:type="dxa"/>
      </w:tblCellMar>
    </w:tblPr>
  </w:style>
  <w:style w:type="paragraph" w:styleId="NormalWeb">
    <w:name w:val="Normal (Web)"/>
    <w:basedOn w:val="Normal"/>
    <w:uiPriority w:val="99"/>
    <w:unhideWhenUsed/>
    <w:rsid w:val="00BE30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E30AE"/>
    <w:rPr>
      <w:b/>
      <w:bCs/>
    </w:rPr>
  </w:style>
  <w:style w:type="table" w:styleId="TableGrid">
    <w:name w:val="Table Grid"/>
    <w:basedOn w:val="TableNormal"/>
    <w:uiPriority w:val="59"/>
    <w:rsid w:val="00C878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058A0"/>
    <w:pPr>
      <w:ind w:left="720"/>
      <w:contextualSpacing/>
    </w:pPr>
  </w:style>
  <w:style w:type="paragraph" w:styleId="Header">
    <w:name w:val="header"/>
    <w:basedOn w:val="Normal"/>
    <w:link w:val="HeaderChar"/>
    <w:uiPriority w:val="99"/>
    <w:unhideWhenUsed/>
    <w:rsid w:val="005A71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117"/>
  </w:style>
  <w:style w:type="paragraph" w:styleId="Footer">
    <w:name w:val="footer"/>
    <w:basedOn w:val="Normal"/>
    <w:link w:val="FooterChar"/>
    <w:uiPriority w:val="99"/>
    <w:semiHidden/>
    <w:unhideWhenUsed/>
    <w:rsid w:val="005A71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7117"/>
  </w:style>
</w:styles>
</file>

<file path=word/webSettings.xml><?xml version="1.0" encoding="utf-8"?>
<w:webSettings xmlns:r="http://schemas.openxmlformats.org/officeDocument/2006/relationships" xmlns:w="http://schemas.openxmlformats.org/wordprocessingml/2006/main">
  <w:divs>
    <w:div w:id="765156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hwNMlDMPnPDOxB9n9eNFceoaA==">CgMxLjAaHwoBMBIaChgICVIUChJ0YWJsZS53cXZsczA5ajdiOWs4AHIhMVA5SWtsUWR6eXpYeElVbXljUFlleWVZYUZqcDAtTHpq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JAGADISH</cp:lastModifiedBy>
  <cp:revision>2</cp:revision>
  <dcterms:created xsi:type="dcterms:W3CDTF">2024-12-05T10:07:00Z</dcterms:created>
  <dcterms:modified xsi:type="dcterms:W3CDTF">2024-12-05T10:07:00Z</dcterms:modified>
</cp:coreProperties>
</file>