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EMPLOYEE HR POLICY HANDBOOK</w:t>
      </w:r>
    </w:p>
    <w:p>
      <w:pPr>
        <w:pStyle w:val="Heading1"/>
      </w:pPr>
      <w:r>
        <w:t xml:space="preserve">1. LEAVE POLICY</w:t>
      </w:r>
    </w:p>
    <w:p>
      <w:r>
        <w:t xml:space="preserve">Employees are entitled to 18 days of paid annual leave per calendar year, accrued monthly</w:t>
      </w:r>
    </w:p>
    <w:p>
      <w:r>
        <w:t xml:space="preserve">at 1.5 days per month. Sick leave is provided separately at 12 days per year and does not</w:t>
      </w:r>
    </w:p>
    <w:p>
      <w:r>
        <w:t xml:space="preserve">require advance notice, though a medical certificate is required for sick leave exceeding</w:t>
      </w:r>
    </w:p>
    <w:p>
      <w:r>
        <w:t xml:space="preserve">3 consecutive days. Casual leave of 6 days per year may be used for personal emergencies</w:t>
      </w:r>
    </w:p>
    <w:p>
      <w:r>
        <w:t xml:space="preserve">with at least 1 day of prior notice where possible. Unused annual leave can be carried</w:t>
      </w:r>
    </w:p>
    <w:p>
      <w:r>
        <w:t xml:space="preserve">forward up to a maximum of 15 days into the next calendar year; beyond that, it lapses.</w:t>
      </w:r>
    </w:p>
    <w:p>
      <w:r>
        <w:t xml:space="preserve">Maternity leave is provided for 26 weeks as per company policy, and paternity leave is</w:t>
      </w:r>
    </w:p>
    <w:p>
      <w:r>
        <w:t xml:space="preserve">provided for 2 weeks. All leave requests must be submitted through the HR portal and</w:t>
      </w:r>
    </w:p>
    <w:p>
      <w:r>
        <w:t xml:space="preserve">approved by the reporting manager at least 2 working days in advance, except for sick leave.</w:t>
      </w:r>
    </w:p>
    <w:p>
      <w:pPr>
        <w:pStyle w:val="Heading1"/>
      </w:pPr>
      <w:r>
        <w:t xml:space="preserve">2. WORK HOURS AND ATTENDANCE</w:t>
      </w:r>
    </w:p>
    <w:p>
      <w:r>
        <w:t xml:space="preserve">Standard work hours are 9:30 AM to 6:30 PM, Monday through Friday, with a 1-hour lunch</w:t>
      </w:r>
    </w:p>
    <w:p>
      <w:r>
        <w:t xml:space="preserve">break. Employees are expected to log a minimum of 8 working hours per day. The company</w:t>
      </w:r>
    </w:p>
    <w:p>
      <w:r>
        <w:t xml:space="preserve">follows a hybrid work model, requiring employees to be present in the office at least</w:t>
      </w:r>
    </w:p>
    <w:p>
      <w:r>
        <w:t xml:space="preserve">3 days per week, with the remaining days eligible for remote work subject to manager</w:t>
      </w:r>
    </w:p>
    <w:p>
      <w:r>
        <w:t xml:space="preserve">approval. Flexible start times between 8:30 AM and 10:30 AM are permitted as long as</w:t>
      </w:r>
    </w:p>
    <w:p>
      <w:r>
        <w:t xml:space="preserve">total daily hours are met. Repeated unexcused absences may result in disciplinary action</w:t>
      </w:r>
    </w:p>
    <w:p>
      <w:r>
        <w:t xml:space="preserve">as outlined in the Code of Conduct section.</w:t>
      </w:r>
    </w:p>
    <w:p>
      <w:pPr>
        <w:pStyle w:val="Heading1"/>
      </w:pPr>
      <w:r>
        <w:t xml:space="preserve">3. EMPLOYEE BENEFITS</w:t>
      </w:r>
    </w:p>
    <w:p>
      <w:r>
        <w:t xml:space="preserve">All full-time employees are eligible for group health insurance covering the employee,</w:t>
      </w:r>
    </w:p>
    <w:p>
      <w:r>
        <w:t xml:space="preserve">spouse, and up to 2 dependent children, with coverage up to 5 lakh rupees per year.</w:t>
      </w:r>
    </w:p>
    <w:p>
      <w:r>
        <w:t xml:space="preserve">Dental and vision coverage are included as add-ons at no additional cost to the employee.</w:t>
      </w:r>
    </w:p>
    <w:p>
      <w:r>
        <w:t xml:space="preserve">The company also provides a wellness allowance of 5000 rupees per quarter, which can be</w:t>
      </w:r>
    </w:p>
    <w:p>
      <w:r>
        <w:t xml:space="preserve">used for gym memberships, mental health counseling, or fitness programs. Employees</w:t>
      </w:r>
    </w:p>
    <w:p>
      <w:r>
        <w:t xml:space="preserve">become eligible for benefits from day one of employment, with no waiting period.</w:t>
      </w:r>
    </w:p>
    <w:p>
      <w:r>
        <w:t xml:space="preserve">Life insurance coverage equal to 3 times the annual salary is provided at no cost.</w:t>
      </w:r>
    </w:p>
    <w:p>
      <w:pPr>
        <w:pStyle w:val="Heading1"/>
      </w:pPr>
      <w:r>
        <w:t xml:space="preserve">4. REMOTE WORK POLICY</w:t>
      </w:r>
    </w:p>
    <w:p>
      <w:r>
        <w:t xml:space="preserve">Employees working remotely must ensure a stable internet connection and be available</w:t>
      </w:r>
    </w:p>
    <w:p>
      <w:r>
        <w:t xml:space="preserve">during core business hours from 11 AM to 4 PM for meetings and collaboration. Remote</w:t>
      </w:r>
    </w:p>
    <w:p>
      <w:r>
        <w:t xml:space="preserve">work equipment, including a laptop and one-time setup allowance of 10000 rupees, is</w:t>
      </w:r>
    </w:p>
    <w:p>
      <w:r>
        <w:t xml:space="preserve">provided to employees who are approved for extended remote work arrangements. Remote</w:t>
      </w:r>
    </w:p>
    <w:p>
      <w:r>
        <w:t xml:space="preserve">employees are expected to attend all-hands meetings virtually and are eligible for the</w:t>
      </w:r>
    </w:p>
    <w:p>
      <w:r>
        <w:t xml:space="preserve">same benefits as in-office employees. Requests for full-time remote work beyond the</w:t>
      </w:r>
    </w:p>
    <w:p>
      <w:r>
        <w:t xml:space="preserve">standard hybrid model must be approved by both the reporting manager and HR.</w:t>
      </w:r>
    </w:p>
    <w:p>
      <w:pPr>
        <w:pStyle w:val="Heading1"/>
      </w:pPr>
      <w:r>
        <w:t xml:space="preserve">5. CODE OF CONDUCT AND DISCIPLINARY POLICY</w:t>
      </w:r>
    </w:p>
    <w:p>
      <w:r>
        <w:t xml:space="preserve">Employees are expected to maintain professionalism, respect diversity, and avoid conflicts</w:t>
      </w:r>
    </w:p>
    <w:p>
      <w:r>
        <w:t xml:space="preserve">of interest. Harassment of any kind is strictly prohibited and can be reported confidentially</w:t>
      </w:r>
    </w:p>
    <w:p>
      <w:r>
        <w:t xml:space="preserve">through the HR ethics hotline. Violations of company policy may result in a verbal warning,</w:t>
      </w:r>
    </w:p>
    <w:p>
      <w:r>
        <w:t xml:space="preserve">written warning, or termination depending on severity, following a structured escalation</w:t>
      </w:r>
    </w:p>
    <w:p>
      <w:r>
        <w:t xml:space="preserve">process. All employees must complete mandatory compliance and ethics training annually.</w:t>
      </w:r>
    </w:p>
    <w:p>
      <w:pPr>
        <w:pStyle w:val="Heading1"/>
      </w:pPr>
      <w:r>
        <w:t xml:space="preserve">6. RESIGNATION AND NOTICE PERIOD</w:t>
      </w:r>
    </w:p>
    <w:p>
      <w:r>
        <w:t xml:space="preserve">Employees who wish to resign must provide a minimum of 30 days written notice to their</w:t>
      </w:r>
    </w:p>
    <w:p>
      <w:r>
        <w:t xml:space="preserve">reporting manager and HR. During the notice period, employees are required to complete</w:t>
      </w:r>
    </w:p>
    <w:p>
      <w:r>
        <w:t xml:space="preserve">a knowledge transfer with their team. Full and final settlement, including any pending</w:t>
      </w:r>
    </w:p>
    <w:p>
      <w:r>
        <w:t xml:space="preserve">reimbursements and leave encashment, is processed within 45 days of the last working day.</w:t>
      </w:r>
    </w:p>
    <w:p>
      <w:r>
        <w:t xml:space="preserve">Leave encashment is calculated based on unused annual leave balance at the basic salary rate.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2026-07-16T03:18:20.145Z</dcterms:created>
  <dcterms:modified xsi:type="dcterms:W3CDTF">2026-07-16T03:18:20.164Z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