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560"/>
      </w:tblGrid>
      <w:tr>
        <w:trPr>
          <w:trHeight w:val="130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B" w:val="clear"/>
          </w:tcPr>
          <w:p>
            <w:pPr>
              <w:spacing w:after="0"/>
            </w:pPr>
          </w:p>
        </w:tc>
        <w:tc>
          <w:tcPr>
            <w:tcW w:type="dxa" w:w="10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880"/>
              <w:left w:type="dxa" w:w="480"/>
              <w:bottom w:type="dxa" w:w="0"/>
              <w:right w:type="dxa" w:w="4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4A3B8"/>
                <w:spacing w:val="80"/>
                <w:sz w:val="22"/>
                <w:szCs w:val="22"/>
              </w:rPr>
              <w:t xml:space="preserve">TECHNICAL DOCUMENTATION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Mutual Fund Analytics Platform</w:t>
            </w:r>
          </w:p>
          <w:p>
            <w:pPr>
              <w:spacing w:after="600"/>
            </w:pPr>
            <w:r>
              <w:rPr>
                <w:rFonts w:ascii="Calibri" w:cs="Calibri" w:eastAsia="Calibri" w:hAnsi="Calibri"/>
                <w:color w:val="5B8FCC"/>
                <w:sz w:val="26"/>
                <w:szCs w:val="26"/>
              </w:rPr>
              <w:t xml:space="preserve">Bluestock Fintech  —  Capstone Project I  —  June 2026</w:t>
            </w:r>
          </w:p>
          <w:p>
            <w:pPr>
              <w:pBdr>
                <w:bottom w:val="single" w:color="1E6FBB" w:sz="6"/>
              </w:pBdr>
              <w:spacing w:after="60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4748B"/>
                <w:spacing w:val="60"/>
                <w:sz w:val="18"/>
                <w:szCs w:val="18"/>
              </w:rPr>
              <w:t xml:space="preserve">PREPARED BY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Manas Bhole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B8FCC"/>
                <w:sz w:val="22"/>
                <w:szCs w:val="22"/>
              </w:rPr>
              <w:t xml:space="preserve">Data Analytics Engineering Track</w:t>
            </w:r>
          </w:p>
          <w:p>
            <w:pPr>
              <w:spacing w:after="600"/>
            </w:pPr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Bluestock Fintech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ETL Pipeline  │  SQLite Schema  │  EDA  │  Risk Metrics  │  Dashboard  │  Recommender</w:t>
            </w:r>
          </w:p>
        </w:tc>
      </w:tr>
      <w:tr>
        <w:trPr>
          <w:trHeight w:val="600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8" w:val="clear"/>
          </w:tcPr>
          <w:p>
            <w:pPr>
              <w:spacing w:after="0"/>
            </w:pP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8" w:val="clear"/>
            <w:vAlign w:val="center"/>
            <w:tcMar>
              <w:top w:type="dxa" w:w="100"/>
              <w:left w:type="dxa" w:w="4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Version 1.0  │  Confidential  │  Internal Use Only</w:t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8" w:val="clear"/>
            <w:vAlign w:val="center"/>
            <w:tcMar>
              <w:top w:type="dxa" w:w="100"/>
              <w:left w:type="dxa" w:w="160"/>
              <w:bottom w:type="dxa" w:w="100"/>
              <w:right w:type="dxa" w:w="48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© 2026 Bluestock Fintech. All rights reserved.</w:t>
            </w:r>
          </w:p>
        </w:tc>
      </w:tr>
    </w:tbl>
    <w:p>
      <w:pPr>
        <w:spacing w:after="0"/>
      </w:pPr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0" w:right="1080" w:bottom="0" w:left="0" w:header="708" w:footer="708" w:gutter="0"/>
          <w:pgNumType/>
          <w:titlePg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1. Document Overview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Purpose, scope and how to use this documentation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1.1 Purpose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This Technical Documentation describes the architecture, codebase, data flows, algorithms, and operational details of the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Bluestock Fintech Mutual Fund Analytics Platform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It is intended for developers, data engineers, and analysts who need to understand, extend, or maintain the platform.</w:t>
      </w:r>
    </w:p>
    <w:p>
      <w:pPr>
        <w:spacing w:after="8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1.2 Document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System architecture and module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ETL pipeline specification and data contracts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 schema and SQL query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Performance analytics algorithms and formulas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Advanced analytics: VaR, SIP continuity, Sector HHI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Interactive dashboard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Fund recommender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Configuration reference and environment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Known limitations and future roadmap</w:t>
      </w:r>
    </w:p>
    <w:p>
      <w:pPr>
        <w:spacing w:after="8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1.3 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E6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Bluestock Fintech — Mutual Fund Analytics Platform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Technical Documentation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Manas Bhole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Bluestock Fintech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Track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Data Analytics Engineering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1.4 Key Statistics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87,543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Data Rows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Across 10 datasets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B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40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Fund Schemes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D4E8F8"/>
                <w:sz w:val="16"/>
                <w:szCs w:val="16"/>
              </w:rPr>
              <w:t xml:space="preserve">Equity, Debt &amp; Hybrid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9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Python Modules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Production-quality pipeline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B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16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Analytical Charts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D4E8F8"/>
                <w:sz w:val="16"/>
                <w:szCs w:val="16"/>
              </w:rPr>
              <w:t xml:space="preserve">EDA + Performance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2. System Architecture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Medallion design, layers, and module topology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2.1 Architecture Overview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platform follows a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Medallion Architecture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with three data layers: Bronze (raw), Silver (cleaned), and Gold (analytics). All components are Python modules orchestrated by a master pipeline runner.</w:t>
      </w:r>
    </w:p>
    <w:p>
      <w:pPr>
        <w:spacing w:after="8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2.2 Medallion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96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Produced By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Bronze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data/raw/*.csv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10 raw CSV files, unchanged from source</w:t>
            </w:r>
          </w:p>
        </w:tc>
        <w:tc>
          <w:tcPr>
            <w:tcW w:type="dxa" w:w="1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External / AMFI feeds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Silver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data/processed/*_clean.csv + bluestock_mf.db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Cleaned datasets; SQLite star schema</w:t>
            </w:r>
          </w:p>
        </w:tc>
        <w:tc>
          <w:tcPr>
            <w:tcW w:type="dxa" w:w="1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data_ingestion.py, data_cleaning.py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Gold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charts/, reports/, dashboard/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EDA charts, scorecards, risk metrics, dashboards</w:t>
            </w:r>
          </w:p>
        </w:tc>
        <w:tc>
          <w:tcPr>
            <w:tcW w:type="dxa" w:w="1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eda_analysis.py, performance_analytics.py, advanced_analytics.py, dashboard_export.py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2.3 Module Dependency Graph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pipeline runs sequentially. Each module depends on the outputs of the previous step: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run_pipeline.py (master orchestrator)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Step 1 → data_ingestion.py    [Bronze: raw CSVs → shape/AMFI validation → anomaly report]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Step 2 → data_cleaning.py     [Silver: cleaned CSVs + SQLite star schema + SQL queries]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Step 3 → eda_analysis.py      [Gold: 15 EDA charts + 10 key findings]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Step 4 → performance_analytics.py [Gold: CAGR, Sharpe, Sortino, Alpha, Beta, Scorecard]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Step 5 → advanced_analytics.py   [Gold: VaR/CVaR, Rolling Sharpe, SIP continuity, HHI]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Step 6 → recommender.py          [Gold: rule-based fund recommender]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└── Step 7 → dashboard_export.py      [Gold: 4-page HTML dashboard + PDF + PNG screenshots]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config.py  ←  imported by ALL modules (single source of truth for paths &amp; constants)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2.4 Module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3600"/>
        <w:gridCol w:w="3240"/>
      </w:tblGrid>
      <w:tr>
        <w:trPr>
          <w:tblHeader/>
        </w:trPr>
        <w:tc>
          <w:tcPr>
            <w:tcW w:type="dxa" w:w="18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2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324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Outputs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config.py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Centralised configuration: all paths, constants, analytical thresholds</w:t>
            </w:r>
          </w:p>
        </w:tc>
        <w:tc>
          <w:tcPr>
            <w:tcW w:type="dxa" w:w="3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Imported by all modules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run_pipeline.py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7-step master pipeline runner with logging and error handling</w:t>
            </w:r>
          </w:p>
        </w:tc>
        <w:tc>
          <w:tcPr>
            <w:tcW w:type="dxa" w:w="3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Pipeline execution log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data_ingestion.py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Load 10 CSVs; shape validation; AMFI code integrity check; anomaly reporting</w:t>
            </w:r>
          </w:p>
        </w:tc>
        <w:tc>
          <w:tcPr>
            <w:tcW w:type="dxa" w:w="3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reports/data_quality_summary.md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data_cleaning.py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Dataset cleaning; SQLite star schema; 10 analytical SQL queries; data dictionary</w:t>
            </w:r>
          </w:p>
        </w:tc>
        <w:tc>
          <w:tcPr>
            <w:tcW w:type="dxa" w:w="3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data/processed/*_clean.csv, bluestock_mf.db, sql/queries.sql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eda_analysis.py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15 EDA charts; 10 key findings across demographics, NAV, category flows</w:t>
            </w:r>
          </w:p>
        </w:tc>
        <w:tc>
          <w:tcPr>
            <w:tcW w:type="dxa" w:w="3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charts/eda/*.png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performance_analytics.py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CAGR, Sharpe, Sortino, Alpha/Beta, Composite Fund Scorecard (0–100)</w:t>
            </w:r>
          </w:p>
        </w:tc>
        <w:tc>
          <w:tcPr>
            <w:tcW w:type="dxa" w:w="3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reports/fund_scorecard.csv, charts/performance/*.png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advanced_analytics.py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VaR/CVaR (95%), Rolling Sharpe, SIP continuity cohort, Sector HHI concentration</w:t>
            </w:r>
          </w:p>
        </w:tc>
        <w:tc>
          <w:tcPr>
            <w:tcW w:type="dxa" w:w="3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reports/var_cvar.csv, charts/advanced/*.png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recommender.py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Rule-based fund recommender by risk appetite (Low/Moderate/High)</w:t>
            </w:r>
          </w:p>
        </w:tc>
        <w:tc>
          <w:tcPr>
            <w:tcW w:type="dxa" w:w="3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reports/fund_recommendations.csv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dashboard_export.py</w:t>
            </w:r>
          </w:p>
        </w:tc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4-page interactive HTML dashboard; PDF export; PNG screenshots</w:t>
            </w:r>
          </w:p>
        </w:tc>
        <w:tc>
          <w:tcPr>
            <w:tcW w:type="dxa" w:w="3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dashboard/bluestock_mf_dashboard.html, dashboard/Dashboard.pdf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3. Project Structure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Repository layout, file organisation, and naming conventions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3.1 Directory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bluestock_mf_analytics/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config.py                    # Central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run_pipeline.py              # Master orchestrator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data_ingestion.py            # Step 1: ETL extraction &amp;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data_cleaning.py             # Step 2: Cleaning &amp; SQLite loading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eda_analysis.py              # Step 3: Exploratory data analysis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performance_analytics.py     # Step 4: Fund performance metrics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advanced_analytics.py        # Step 5: Risk metrics &amp; cohort analysis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recommender.py               # Step 6: Fund recommender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dashboard_export.py          # Step 7: HTML/PDF dashboard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data/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│   ├── raw/                     # 10 source CSV files (Bronze layer)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│   └── processed/               # Cleaned CSV files (Silver layer)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bluestock_mf.db              # SQLite database (Silver layer)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sql/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│   └── queries.sql              # 10 analytical SQL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charts/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│   ├── eda/                     # 15 EDA charts (.png)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│   ├── performance/             # Scorecard and benchmark charts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│   └── advanced/                # VaR, rolling Sharpe, HHI charts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├── reports/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│   ├── data_quality_summary.md  # Anomaly report from ingestion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│   ├── fund_scorecard.csv       # Composite 0–100 fund scores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│   ├── var_cvar.csv             # VaR/CVaR results per fund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│   └── fund_recommendations.csv # Recommender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└── dashboard/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├── bluestock_mf_dashboard.html  # Self-contained interactive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├── Dashboard.pdf                # 4-page PDF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└── screenshots/                 # 4 PNG screenshots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4. Data Sources &amp; Contracts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Dataset inventory, schemas, and quality rules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4.1 Dataset Inventory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00"/>
        <w:gridCol w:w="700"/>
        <w:gridCol w:w="3300"/>
        <w:gridCol w:w="2900"/>
      </w:tblGrid>
      <w:tr>
        <w:trPr>
          <w:tblHeader/>
        </w:trPr>
        <w:tc>
          <w:tcPr>
            <w:tcW w:type="dxa" w:w="36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3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9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Purpose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01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fund_master.csv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40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amfi_code, fund_house, scheme_name, category, risk_category</w:t>
            </w:r>
          </w:p>
        </w:tc>
        <w:tc>
          <w:tcPr>
            <w:tcW w:type="dxa" w:w="2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Dimension — master fund reference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02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nav_history.csv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46,000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amfi_code, date, nav</w:t>
            </w:r>
          </w:p>
        </w:tc>
        <w:tc>
          <w:tcPr>
            <w:tcW w:type="dxa" w:w="2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Fact — daily NAV per scheme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03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aum_by_fund_house.csv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90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fund_house, year, aum_cr</w:t>
            </w:r>
          </w:p>
        </w:tc>
        <w:tc>
          <w:tcPr>
            <w:tcW w:type="dxa" w:w="2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Fact — annual AUM per AMC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04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monthly_sip_inflows.csv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48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month, sip_inflow_cr</w:t>
            </w:r>
          </w:p>
        </w:tc>
        <w:tc>
          <w:tcPr>
            <w:tcW w:type="dxa" w:w="2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Fact — industry SIP totals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05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category_inflows.csv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144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month, category, net_inflow_cr</w:t>
            </w:r>
          </w:p>
        </w:tc>
        <w:tc>
          <w:tcPr>
            <w:tcW w:type="dxa" w:w="2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Fact — category net inflows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06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industry_folio_count.csv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21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month, folio_count_cr</w:t>
            </w:r>
          </w:p>
        </w:tc>
        <w:tc>
          <w:tcPr>
            <w:tcW w:type="dxa" w:w="2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Fact — total industry folios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07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scheme_performance.csv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40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return_1yr/3yr/5yr, expense_ratio</w:t>
            </w:r>
          </w:p>
        </w:tc>
        <w:tc>
          <w:tcPr>
            <w:tcW w:type="dxa" w:w="2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Fact — scheme KPIs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08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investor_transactions.csv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32,778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investor_id, type, amount, state, age_group</w:t>
            </w:r>
          </w:p>
        </w:tc>
        <w:tc>
          <w:tcPr>
            <w:tcW w:type="dxa" w:w="2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Fact — all investor transactions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09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portfolio_holdings.csv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322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amfi_code, sector, weight_pct</w:t>
            </w:r>
          </w:p>
        </w:tc>
        <w:tc>
          <w:tcPr>
            <w:tcW w:type="dxa" w:w="2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Fact — sector weights per fund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benchmark_indices.csv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8,050</w:t>
            </w:r>
          </w:p>
        </w:tc>
        <w:tc>
          <w:tcPr>
            <w:tcW w:type="dxa" w:w="3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date, index_name, nav</w:t>
            </w:r>
          </w:p>
        </w:tc>
        <w:tc>
          <w:tcPr>
            <w:tcW w:type="dxa" w:w="2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Dimension — Nifty 50, Nifty 100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4.2 Data Quality Rules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1B3E"/>
          <w:sz w:val="22"/>
          <w:szCs w:val="22"/>
        </w:rPr>
        <w:t xml:space="preserve">nav_history.csv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All amfi_code values must exist in fund_master.csv (referential integrity)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date column: parsed to datetime64, sorted by (amfi_code, date) ascending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Forward-fill applied for weekends and market holidays (SEBI 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Duplicate (amfi_code, date) combinations removed; nav &gt; 0 enforced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1B3E"/>
          <w:sz w:val="22"/>
          <w:szCs w:val="22"/>
        </w:rPr>
        <w:t xml:space="preserve">investor_transactions.csv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transaction_type normalised to uppercase enum: SIP | LUMPSUM | REDEMPTION | SWITCH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amount: negative values flagged and corrected; must be &gt; 0 for SIP/LUMPSUM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kyc_status: validated against allowed enum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dates: parsed to datetime64; future dates flagged as anomalies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1B3E"/>
          <w:sz w:val="22"/>
          <w:szCs w:val="22"/>
        </w:rPr>
        <w:t xml:space="preserve">scheme_performance.csv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return_1yr, return_3yr, return_5yr: coerced to float64; null allowed for newer 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expense_ratio: validated in range [0.1, 2.5]; outliers flagged in data_quality_summary.md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Two anomalous entries documented in the quality report</w:t>
      </w:r>
    </w:p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4.3 AMFI Code Referential Integrity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B" w:val="clear"/>
          </w:tcPr>
          <w:p/>
        </w:tc>
        <w:tc>
          <w:tcPr>
            <w:tcW w:type="dxa" w:w="9120"/>
            <w:tcBorders>
              <w:top w:val="single" w:color="CBD5E0" w:sz="4"/>
              <w:left w:val="none" w:color="FFFFFF" w:sz="0"/>
              <w:bottom w:val="single" w:color="CBD5E0" w:sz="4"/>
              <w:right w:val="single" w:color="CBD5E0" w:sz="4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6FBB"/>
                <w:sz w:val="20"/>
                <w:szCs w:val="20"/>
              </w:rPr>
              <w:t xml:space="preserve">Validation Rule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All 40 AMFI codes in fund_master.csv must be consistently present across nav_history.csv, scheme_performance.csv, and portfolio_holdings.csv. Any missing code triggers a WARNING in data_quality_summary.md and halts the Silver layer load for that dataset.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5. ETL Pipeline Design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Extraction, transformation, and loading specifications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5.1 Extraction (data_ingestion.py)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All 10 CSV files are loaded from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data/raw/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using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pandas.read_csv()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Each dataset undergoes the following checks: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Shape validation: row and column counts compared against expected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 type inspection: dtype mismatch triggers a WARNING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Head preview: first 5 rows logged for manual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AMFI code cross-validation across all applicable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All anomalies written to 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reports/data_quality_summary.md</w:t>
      </w:r>
    </w:p>
    <w:p>
      <w:pPr>
        <w:spacing w:after="8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5.2 Transformation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376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nav_history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Date parsing; sort by (amfi_code, date); forward-fill; dedup; NAV &gt; 0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pd.to_datetime(); ffill(); drop_duplicates()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investor_transactions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Uppercase enum normalise; amount validation; date parsing; KYC enum check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str.upper(); abs(); pd.to_datetime()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scheme_performance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Float coercion on return columns; expense_ratio range check [0.1, 2.5]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pd.to_numeric(errors='coerce')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aum_by_fund_house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Numeric coercion; whitespace strip; column rename for consistency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str.strip(); rename()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category_inflows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Date parsing to period (YYYY-MM); category enum validation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pd.Period(); isin()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benchmark_indices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Date parsing; index_name standardisation; NAV &gt; 0 enforcement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pd.to_datetime(); str.strip()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All datasets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Whitespace stripping on all string columns; column name snake_case normalisation</w:t>
            </w:r>
          </w:p>
        </w:tc>
        <w:tc>
          <w:tcPr>
            <w:tcW w:type="dxa" w:w="37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str.strip(); str.lower().replace(' ','_')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5.3 Loading — SQLite Star Schema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Cleaned data is loaded into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bluestock_mf.db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using a star schema with 3 dimension tables and 3 fact tables: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DIMENSION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dim_fund          │  40 rows   │  PK: amfi_code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     │           │  Columns: fund_house, scheme_name, category,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     │           │           sub_category, risk_category, fund_type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dim_date          │  ~1,500 rows │  PK: date_id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     │             │  Columns: full_date, year, month, quarter,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     │             │           day_of_week, is_month_end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FACT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fact_nav          │  46,000 rows │  FK: amfi_code, date_id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     │             │  Measures: nav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fact_transactions │  32,778 rows │  FK: amfi_code, investor_id, date_id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     │             │  Measures: amount, transaction_type, state,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     │             │           age_group, gender, kyc_status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fact_performance  │  40 rows     │  FK: amfi_code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     │             │  Measures: return_1yr/3yr/5yr, expense_ratio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fact_aum          │  90 rows     │  FK: fund_house_id, 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     │             │  Measures: aum_cr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5.4 Analytical SQL Queries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10 queries are written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sql/queries.sql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Key queries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 #</w:t>
            </w:r>
          </w:p>
        </w:tc>
        <w:tc>
          <w:tcPr>
            <w:tcW w:type="dxa" w:w="24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Q1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Top Funds by AUM</w:t>
            </w:r>
          </w:p>
        </w:tc>
        <w:tc>
          <w:tcPr>
            <w:tcW w:type="dxa" w:w="6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Rank fund houses by latest-year AUM; compute YoY growth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Q2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Monthly SIP Trend</w:t>
            </w:r>
          </w:p>
        </w:tc>
        <w:tc>
          <w:tcPr>
            <w:tcW w:type="dxa" w:w="6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Monthly SIP inflow time-series with 3-month rolling average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Q3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Fund Performance Rank</w:t>
            </w:r>
          </w:p>
        </w:tc>
        <w:tc>
          <w:tcPr>
            <w:tcW w:type="dxa" w:w="6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Rank all 40 funds by 3-year return; include Sharpe and expense ratio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Q4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Investor Age Analysis</w:t>
            </w:r>
          </w:p>
        </w:tc>
        <w:tc>
          <w:tcPr>
            <w:tcW w:type="dxa" w:w="6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Distribution of transaction volume and amount by age group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Q5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 Ratio Comparison</w:t>
            </w:r>
          </w:p>
        </w:tc>
        <w:tc>
          <w:tcPr>
            <w:tcW w:type="dxa" w:w="6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Direct vs Regular plan expense ratio gap per category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Q6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Category Flow Heatmap</w:t>
            </w:r>
          </w:p>
        </w:tc>
        <w:tc>
          <w:tcPr>
            <w:tcW w:type="dxa" w:w="6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Monthly net inflow by category (pivot: month x category)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Q7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T30/B30 Split</w:t>
            </w:r>
          </w:p>
        </w:tc>
        <w:tc>
          <w:tcPr>
            <w:tcW w:type="dxa" w:w="6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Transaction count and amount split by T30 and B30 cities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Q8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Top Performing Schemes</w:t>
            </w:r>
          </w:p>
        </w:tc>
        <w:tc>
          <w:tcPr>
            <w:tcW w:type="dxa" w:w="6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Composite rank using return, Sharpe, and drawdown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Q9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SIP Continuity Flags</w:t>
            </w:r>
          </w:p>
        </w:tc>
        <w:tc>
          <w:tcPr>
            <w:tcW w:type="dxa" w:w="6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Investors with SIP gaps &gt; 35 days (at-risk flagging)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Q10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Benchmark vs Fund</w:t>
            </w:r>
          </w:p>
        </w:tc>
        <w:tc>
          <w:tcPr>
            <w:tcW w:type="dxa" w:w="62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Normalised NAV comparison: top 3 funds vs Nifty 50/100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6. Performance Analytics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Metrics framework, formulas, and scorecard methodology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6.1 Metrics Framework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Seven quantitative metrics are computed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performance_analytics.py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for all 40 fund schemes: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4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56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CAGR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(End NAV ÷ Start NAV)^(1÷N) − 1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 = years; typically 1yr, 3yr, 5yr windows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Absolute compounded annual return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Sharpe Ratio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(Rp − Rf) ÷ σp × √252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Rf = 6.5% (RBI repo rate proxy); σp = annualised vol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Risk-adjusted excess return vs risk-free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Sortino Ratio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(Rp − Rf) ÷ σdownside × √252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σdownside = std of negative daily returns only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Downside-risk-adjusted return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Alpha (Jensen’s)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OLS intercept (fund excess vs benchmark excess)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Benchmark: Nifty 100 TRI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Return generated beyond market compensation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Beta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OLS slope (fund excess vs benchmark excess)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Benchmark: Nifty 100 TRI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Market sensitivity; 1.0 = moves with market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Max Drawdown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min(NAV ÷ rolling_max(NAV) − 1)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Rolling peak computed over full history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Worst peak-to-trough NAV decline</w:t>
            </w:r>
          </w:p>
        </w:tc>
      </w:tr>
      <w:tr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Tracking Error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std(fund_return − benchmark_return) × √252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Benchmark: Nifty 100 TRI daily returns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Annualised deviation from benchmark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6.2 Composite Fund Scorecard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composite 0–100 score is computed as a weighted average of five normalised metrics: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Score = (3yr_return_score × 0.30)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+ (sharpe_score     × 0.25)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+ (sortino_score    × 0.20)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+ (alpha_score      × 0.15)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+ (drawdown_score   × 0.10)     # inverted: lower drawdown → higher 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Each metric is min-max normalised to [0, 100] across the 40-fund universe.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drawdown_score = 100 − normalised(abs(max_drawdown))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6.3 Top Fund Scorecard Results</w:t>
      </w:r>
    </w:p>
    <w:tbl>
      <w:tblPr>
        <w:tblW w:type="dxa" w:w="8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900"/>
        <w:gridCol w:w="800"/>
        <w:gridCol w:w="900"/>
        <w:gridCol w:w="1200"/>
        <w:gridCol w:w="800"/>
      </w:tblGrid>
      <w:tr>
        <w:trPr>
          <w:tblHeader/>
        </w:trPr>
        <w:tc>
          <w:tcPr>
            <w:tcW w:type="dxa" w:w="48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6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Fund Name</w:t>
            </w:r>
          </w:p>
        </w:tc>
        <w:tc>
          <w:tcPr>
            <w:tcW w:type="dxa" w:w="9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2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3yr Return</w:t>
            </w:r>
          </w:p>
        </w:tc>
        <w:tc>
          <w:tcPr>
            <w:tcW w:type="dxa" w:w="8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Beta</w:t>
            </w:r>
          </w:p>
        </w:tc>
      </w:tr>
      <w:tr>
        <w:tc>
          <w:tcPr>
            <w:tcW w:type="dxa" w:w="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ICICI Pru Midcap Fund — Regular — Growth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82.4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1.82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21.3%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0.85</w:t>
            </w:r>
          </w:p>
        </w:tc>
      </w:tr>
      <w:tr>
        <w:tc>
          <w:tcPr>
            <w:tcW w:type="dxa" w:w="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SBI Small Cap Fund — Regular — Growth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79.1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1.67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23.4%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0.63</w:t>
            </w:r>
          </w:p>
        </w:tc>
      </w:tr>
      <w:tr>
        <w:tc>
          <w:tcPr>
            <w:tcW w:type="dxa" w:w="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HDFC Flexi Cap Fund — Regular — Growth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74.8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1.54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18.7%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0.91</w:t>
            </w:r>
          </w:p>
        </w:tc>
      </w:tr>
      <w:tr>
        <w:tc>
          <w:tcPr>
            <w:tcW w:type="dxa" w:w="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Axis Bluechip Fund — Regular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Moderate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69.3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1.41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16.2%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0.88</w:t>
            </w:r>
          </w:p>
        </w:tc>
      </w:tr>
      <w:tr>
        <w:tc>
          <w:tcPr>
            <w:tcW w:type="dxa" w:w="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ICICI Pru Liquid Fund — Regular — Growth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61.2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0.89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7.1%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0.12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7. Advanced Analytics &amp; Risk Metrics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VaR/CVaR, Rolling Sharpe, SIP continuity, Sector HHI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7.1 Value at Risk (VaR) and CVaR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1B3E"/>
          <w:sz w:val="22"/>
          <w:szCs w:val="22"/>
        </w:rPr>
        <w:t xml:space="preserve">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Method: Historical Simulation (non-parametric)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Confidence Level: 95% (5th percentile of daily return distribution)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Horizon: Daily (1-day VaR)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Lookback: Full 4-year history (Jan 2022 – Apr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CVaR (Conditional VaR / Expected Shortfall): Mean of returns below VaR threshold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daily_returns = nav.pct_change().dropna()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VaR_95  = daily_returns.quantile(0.05)          # 5th percentile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CVaR_95 = daily_returns[daily_returns &lt;= VaR_95].mean()   # Expected Shortfall</w:t>
            </w:r>
          </w:p>
        </w:tc>
      </w:tr>
    </w:tbl>
    <w:p>
      <w:pPr>
        <w:spacing w:after="10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1B3E"/>
          <w:sz w:val="22"/>
          <w:szCs w:val="22"/>
        </w:rPr>
        <w:t xml:space="preserve">Key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80"/>
        <w:gridCol w:w="1680"/>
        <w:gridCol w:w="2400"/>
      </w:tblGrid>
      <w:tr>
        <w:trPr>
          <w:tblHeader/>
        </w:trPr>
        <w:tc>
          <w:tcPr>
            <w:tcW w:type="dxa" w:w="36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Fund</w:t>
            </w:r>
          </w:p>
        </w:tc>
        <w:tc>
          <w:tcPr>
            <w:tcW w:type="dxa" w:w="168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Daily VaR (95%)</w:t>
            </w:r>
          </w:p>
        </w:tc>
        <w:tc>
          <w:tcPr>
            <w:tcW w:type="dxa" w:w="168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Daily CVaR (95%)</w:t>
            </w:r>
          </w:p>
        </w:tc>
        <w:tc>
          <w:tcPr>
            <w:tcW w:type="dxa" w:w="24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ABSL Small Cap Fund</w:t>
            </w:r>
          </w:p>
        </w:tc>
        <w:tc>
          <w:tcPr>
            <w:tcW w:type="dxa" w:w="1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−2.39%</w:t>
            </w:r>
          </w:p>
        </w:tc>
        <w:tc>
          <w:tcPr>
            <w:tcW w:type="dxa" w:w="1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−3.03%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HIGHEST</w:t>
            </w:r>
          </w:p>
        </w:tc>
      </w:tr>
      <w:tr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SBI Small Cap Fund</w:t>
            </w:r>
          </w:p>
        </w:tc>
        <w:tc>
          <w:tcPr>
            <w:tcW w:type="dxa" w:w="1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−1.98%</w:t>
            </w:r>
          </w:p>
        </w:tc>
        <w:tc>
          <w:tcPr>
            <w:tcW w:type="dxa" w:w="1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−2.54%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ICICI Pru Midcap Fund</w:t>
            </w:r>
          </w:p>
        </w:tc>
        <w:tc>
          <w:tcPr>
            <w:tcW w:type="dxa" w:w="1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−1.71%</w:t>
            </w:r>
          </w:p>
        </w:tc>
        <w:tc>
          <w:tcPr>
            <w:tcW w:type="dxa" w:w="1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−2.21%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HDFC Flexi Cap Fund</w:t>
            </w:r>
          </w:p>
        </w:tc>
        <w:tc>
          <w:tcPr>
            <w:tcW w:type="dxa" w:w="1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−1.42%</w:t>
            </w:r>
          </w:p>
        </w:tc>
        <w:tc>
          <w:tcPr>
            <w:tcW w:type="dxa" w:w="1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−1.87%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Axis Bluechip Fund</w:t>
            </w:r>
          </w:p>
        </w:tc>
        <w:tc>
          <w:tcPr>
            <w:tcW w:type="dxa" w:w="1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−1.18%</w:t>
            </w:r>
          </w:p>
        </w:tc>
        <w:tc>
          <w:tcPr>
            <w:tcW w:type="dxa" w:w="1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−1.54%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ICICI Pru Liquid Fund</w:t>
            </w:r>
          </w:p>
        </w:tc>
        <w:tc>
          <w:tcPr>
            <w:tcW w:type="dxa" w:w="1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−0.08%</w:t>
            </w:r>
          </w:p>
        </w:tc>
        <w:tc>
          <w:tcPr>
            <w:tcW w:type="dxa" w:w="1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−0.11%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LOWEST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7.2 Rolling Sharpe Ratio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Rolling Sharpe is computed over a 252-trading-day (1-year) window, recalculated daily. This detects degrading risk-adjusted performance before it shows in raw returns.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window = 252   # 1-year rolling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rolling_mean = daily_returns.rolling(window).mean() * 252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rolling_std  = daily_returns.rolling(window).std()  * sqrt(252)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rolling_sharpe = (rolling_mean - 0.065) / rolling_std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B" w:val="clear"/>
          </w:tcPr>
          <w:p/>
        </w:tc>
        <w:tc>
          <w:tcPr>
            <w:tcW w:type="dxa" w:w="9120"/>
            <w:tcBorders>
              <w:top w:val="single" w:color="CBD5E0" w:sz="4"/>
              <w:left w:val="none" w:color="FFFFFF" w:sz="0"/>
              <w:bottom w:val="single" w:color="CBD5E0" w:sz="4"/>
              <w:right w:val="single" w:color="CBD5E0" w:sz="4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6FBB"/>
                <w:sz w:val="20"/>
                <w:szCs w:val="20"/>
              </w:rPr>
              <w:t xml:space="preserve">Finding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ICICI Pru Midcap Fund maintains rolling Sharpe consistently above 1.0 across all market cycles (2022–2026), indicating stable risk-adjusted outperformance even through the late-2024 correction.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7.3 SIP Continuity Analysis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1B3E"/>
          <w:sz w:val="22"/>
          <w:szCs w:val="22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For each investor with 6+ SIP transactions, compute gaps between consecutive SIP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Flag as at-risk if any gap &gt; 35 days (industry standard for missed SIP detection)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Cohort investors by SIP registration year (2022, 2023, 2024, 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Compute average gap, at-risk rate, and mean SIP amount per cohort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B" w:val="clear"/>
          </w:tcPr>
          <w:p/>
        </w:tc>
        <w:tc>
          <w:tcPr>
            <w:tcW w:type="dxa" w:w="9120"/>
            <w:tcBorders>
              <w:top w:val="single" w:color="CBD5E0" w:sz="4"/>
              <w:left w:val="none" w:color="FFFFFF" w:sz="0"/>
              <w:bottom w:val="single" w:color="CBD5E0" w:sz="4"/>
              <w:right w:val="single" w:color="CBD5E0" w:sz="4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6FBB"/>
                <w:sz w:val="20"/>
                <w:szCs w:val="20"/>
              </w:rPr>
              <w:t xml:space="preserve">Critical Finding: 97.8% SIP At-Risk Rate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97.8% of investors with 6+ SIP transactions have at least one gap exceeding 35 days. The average gap is 64.9 days. Investors with auto-debit show a 3.2× lower at-risk rate than manual SIP investors.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7.4 Sector Concentration (Herfindahl-Hirschman Index)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HHI = Σ (sector_weight_i)^2 across all sectors in a fund's portfolio. Thresholds: HHI &lt; 1,500 = well-diversified; 1,500–2,500 = moderate; &gt; 2,500 = highly concentrated.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Fund</w:t>
            </w:r>
          </w:p>
        </w:tc>
        <w:tc>
          <w:tcPr>
            <w:tcW w:type="dxa" w:w="12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HHI Score</w:t>
            </w:r>
          </w:p>
        </w:tc>
        <w:tc>
          <w:tcPr>
            <w:tcW w:type="dxa" w:w="18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Dominant Sector</w:t>
            </w:r>
          </w:p>
        </w:tc>
        <w:tc>
          <w:tcPr>
            <w:tcW w:type="dxa" w:w="356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Concentration Level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Axis Bluechip Fund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2,968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IT: 48.7%</w:t>
            </w:r>
          </w:p>
        </w:tc>
        <w:tc>
          <w:tcPr>
            <w:tcW w:type="dxa" w:w="3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 — above 2,500 threshold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HDFC Flexi Cap Fund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2,200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Banking</w:t>
            </w:r>
          </w:p>
        </w:tc>
        <w:tc>
          <w:tcPr>
            <w:tcW w:type="dxa" w:w="3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SBI Small Cap Fund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1,850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Industrials</w:t>
            </w:r>
          </w:p>
        </w:tc>
        <w:tc>
          <w:tcPr>
            <w:tcW w:type="dxa" w:w="3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ICICI Pru Midcap Fund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1,620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Diversified (8 sectors)</w:t>
            </w:r>
          </w:p>
        </w:tc>
        <w:tc>
          <w:tcPr>
            <w:tcW w:type="dxa" w:w="3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UTI Mid Cap Fund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1,240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Diversified (10 sectors)</w:t>
            </w:r>
          </w:p>
        </w:tc>
        <w:tc>
          <w:tcPr>
            <w:tcW w:type="dxa" w:w="3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Well-diversified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8. Interactive Dashboard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Architecture, pages, and technical implementation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8.1 Architecture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dashboard is a single self-contained HTML file (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bluestock_mf_dashboard.html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) with embedded JavaScript and Chart.js. No server, API, or installation is required — the file opens in any modern browser.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E6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File type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Single-file HTML with embedded JS/CSS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Charting library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Chart.js (CDN)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PDF export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Separate static PDF — dashboard/Dashboard.pdf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PNG screenshots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 screenshots in dashboard/screenshots/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Chrome 90+, Firefox 88+, Edge 90+, Safari 14+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File size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~2.5 MB (all data embedded as JSON)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8.2 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6880"/>
      </w:tblGrid>
      <w:tr>
        <w:trPr>
          <w:tblHeader/>
        </w:trPr>
        <w:tc>
          <w:tcPr>
            <w:tcW w:type="dxa" w:w="48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88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Charts &amp; Widgets</w:t>
            </w:r>
          </w:p>
        </w:tc>
      </w:tr>
      <w:tr>
        <w:tc>
          <w:tcPr>
            <w:tcW w:type="dxa" w:w="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Industry Overview</w:t>
            </w:r>
          </w:p>
        </w:tc>
        <w:tc>
          <w:tcPr>
            <w:tcW w:type="dxa" w:w="68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AUM by fund house (bar); Monthly SIP inflow time-series with ATH annotation; Industry folio count growth trend</w:t>
            </w:r>
          </w:p>
        </w:tc>
      </w:tr>
      <w:tr>
        <w:tc>
          <w:tcPr>
            <w:tcW w:type="dxa" w:w="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Fund Performance</w:t>
            </w:r>
          </w:p>
        </w:tc>
        <w:tc>
          <w:tcPr>
            <w:tcW w:type="dxa" w:w="68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Daily NAV trends for all 40 schemes (line); Top 10 funds by Sharpe ratio (horizontal bar, risk colour-coded); Benchmark comparison (normalised NAV vs Nifty 50/100)</w:t>
            </w:r>
          </w:p>
        </w:tc>
      </w:tr>
      <w:tr>
        <w:tc>
          <w:tcPr>
            <w:tcW w:type="dxa" w:w="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Investor Analytics</w:t>
            </w:r>
          </w:p>
        </w:tc>
        <w:tc>
          <w:tcPr>
            <w:tcW w:type="dxa" w:w="68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Age group distribution (doughnut); Gender split (pie); Geographic analysis (T30/B30 bar); Transaction pattern by type and cohort year (stacked bar)</w:t>
            </w:r>
          </w:p>
        </w:tc>
      </w:tr>
      <w:tr>
        <w:tc>
          <w:tcPr>
            <w:tcW w:type="dxa" w:w="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SIP &amp; Risk</w:t>
            </w:r>
          </w:p>
        </w:tc>
        <w:tc>
          <w:tcPr>
            <w:tcW w:type="dxa" w:w="68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SIP continuity cohort chart (grouped bar); Category inflow heatmap (month × category); VaR/CVaR summary table with risk-flagged entries (red &gt; 2%)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9. Fund Recommender Engine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Logic, decision rules, and output format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9.1 Overview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recommender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recommender.py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is a rule-based engine that maps an investor’s risk appetite to a ranked list of suitable funds. It uses the composite scorecard, VaR, expense ratio, and category as input signals.</w:t>
      </w:r>
    </w:p>
    <w:p>
      <w:pPr>
        <w:spacing w:after="8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9.2 Risk Appetite Decision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IF risk_appetite == 'LOW':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eligible = funds WHERE category IN ['Debt', 'Liquid', 'Hybrid']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AND daily_var_95 &gt; -0.5%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AND expense_ratio &lt;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rank by: composite_score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IF risk_appetite == 'MODERATE':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eligible = funds WHERE category IN ['Hybrid', 'Large Cap', 'Flexi Cap']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AND daily_var_95 &gt; -1.5%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AND sharpe_ratio &gt;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rank by: composite_score DESC, sharpe_ratio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IF risk_appetite == 'HIGH':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eligible = funds WHERE category IN ['Mid Cap', 'Small Cap', 'Flexi Cap']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           AND 3yr_return &gt; 15%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    rank by: composite_score DESC, return_3yr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OUTPUT: Top 3 funds per risk appetite with rationale column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9.3 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risk_appetite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LOW | MODERATE | HIGH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rank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1, 2, or 3 (best match first)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amfi_code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AMFI unique fund identifier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scheme_name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Full fund name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composite_score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0–100 fund scorecard score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sharpe_ratio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Annualised Sharpe ratio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return_3yr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3-year CAGR (%)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daily_var_95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Historical VaR at 95% confidence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rationale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Human-readable reason for recommendation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10. Configuration Reference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config.py — all constants, paths, and thresholds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10.1 File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# config.py — Path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RAW_DATA_DIR        = 'data/raw/'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PROCESSED_DATA_DIR  = 'data/processed/'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DB_PATH             = 'bluestock_mf.db'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SQL_DIR             = 'sql/'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CHARTS_DIR          = 'charts/'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REPORTS_DIR         = 'reports/'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DASHBOARD_DIR       = 'dashboard/'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10.2 Analytical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# Analytical Parameters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RISK_FREE_RATE      = 0.065    # 6.5% RBI repo rate proxy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TRADING_DAYS        = 252      # Annual trading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VAR_CONFIDENCE      = 0.95     # 95th percentile 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SIP_GAP_THRESHOLD   = 35       # Days — at-risk SIP gap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ROLLING_WINDOW      = 252      # 1-year rolling Sharpe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HHI_HIGH_THRESHOLD  = 2500     # HHI &gt; 2500 = high concentration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EXPENSE_RATIO_MIN   = 0.1      # Minimum valid expense ratio (%)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EXPENSE_RATIO_MAX   = 2.5      # Maximum valid expense ratio (%)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# Scorecard Weights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SCORE_WEIGHT_RETURN   = 0.30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SCORE_WEIGHT_SHARPE   = 0.25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SCORE_WEIGHT_SORTINO  = 0.20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SCORE_WEIGHT_ALPHA    = 0.15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SCORE_WEIGHT_DRAWDOWN = 0.10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11. Environment Setup &amp; Execution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Prerequisites, installation, and running the pipeline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11.1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2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3.9+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Runtime environment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1.5+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Data manipulation and ETL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1.23+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Numerical computations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matplotlib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3.6+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Chart generation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seaborn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0.12+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Statistical visualisation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scipy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1.9+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OLS regression for Alpha/Beta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sqlite3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Built-in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SQLite database operations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11.2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# Clone the repository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git clone https://github.com/bluestock-fintech/mf-analytics-platform.git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cd mf-analytics-platform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# Create virtual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source venv/bin/activate    # Windows: venv\Scripts\activate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# Install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11.3 Running the Full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# Run the complete 7-step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python run_pipeline.py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# Run individual 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python data_ingestion.py      # Step 1: ETL extraction &amp;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python data_cleaning.py       # Step 2: Cleaning &amp; SQLite loading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python eda_analysis.py        # Step 3: EDA charts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python performance_analytics.py  # Step 4: Fund metrics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python advanced_analytics.py  # Step 5: Risk metrics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python recommender.py         # Step 6: Fund recommender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8F8"/>
                <w:sz w:val="18"/>
                <w:szCs w:val="18"/>
              </w:rPr>
              <w:t xml:space="preserve">python dashboard_export.py    # Step 7: Dashboard export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11.4 Expected Run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E6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Approximate Time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Step 1 — Data Ingestion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~15 seconds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Step 2 — Data Cleaning + SQLite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~30 seconds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Step 3 — EDA Analysis (15 charts)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~45 seconds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Step 4 — Performance Analytics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~20 seconds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Step 5 — Advanced Analytics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~25 seconds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Step 6 — Recommender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~5 seconds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Step 7 — Dashboard Export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~15 seconds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Total (full pipeline)</w:t>
            </w:r>
          </w:p>
        </w:tc>
        <w:tc>
          <w:tcPr>
            <w:tcW w:type="dxa" w:w="6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~2.5 minutes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12. Limitations &amp; Future Roadmap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Known constraints and planned enhancements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12.1 Current Limitations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1B3E"/>
          <w:sz w:val="22"/>
          <w:szCs w:val="22"/>
        </w:rPr>
        <w:t xml:space="preserve">Dataset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Covers 40 schemes across 5 fund houses — India has 1,400+ active mutual fund schemes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NAV data ends April 2026; refresh from AMFI bulk data API required for current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Investor transaction data is synthetic-realistic (PII anonymised); behavioural conclusions are directional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1B3E"/>
          <w:sz w:val="22"/>
          <w:szCs w:val="22"/>
        </w:rPr>
        <w:t xml:space="preserve">Technical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SQLite is used for portability; production workloads with concurrent users should migrate to PostgreSQL or BigQuery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dashboard is a static HTML export; real-time filtering requires a Streamlit or Dash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VaR uses historical simulation, which assumes past distribution repeats; parametric or Monte Carlo VaR recommended for stress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Risk-free rate fixed at 6.5%; actual RBI repo rate varied between 4.0%–6.5% over the analysis window</w:t>
      </w:r>
    </w:p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12.2 Future Enhancements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9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8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46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Streamlit App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Q3 2026</w:t>
            </w:r>
          </w:p>
        </w:tc>
        <w:tc>
          <w:tcPr>
            <w:tcW w:type="dxa" w:w="54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Real-time dashboard with live AMFI data feed and interactive filters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ML Return Predictor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Q4 2026</w:t>
            </w:r>
          </w:p>
        </w:tc>
        <w:tc>
          <w:tcPr>
            <w:tcW w:type="dxa" w:w="54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ARIMA / Prophet / LSTM time-series forecasting on NAV history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Portfolio Optimiser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Q4 2026</w:t>
            </w:r>
          </w:p>
        </w:tc>
        <w:tc>
          <w:tcPr>
            <w:tcW w:type="dxa" w:w="54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Markowitz mean-variance optimisation across fund categories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SIP Alert Engine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Q3 2026</w:t>
            </w:r>
          </w:p>
        </w:tc>
        <w:tc>
          <w:tcPr>
            <w:tcW w:type="dxa" w:w="54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Automated email/SMS triggers for SIP continuity breaks and VaR breaches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Docker Deployment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Q3 2026</w:t>
            </w:r>
          </w:p>
        </w:tc>
        <w:tc>
          <w:tcPr>
            <w:tcW w:type="dxa" w:w="54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Containerise full pipeline; deploy on Render or Railway (cloud PaaS)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Scale to 1,000+ Schemes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2027</w:t>
            </w:r>
          </w:p>
        </w:tc>
        <w:tc>
          <w:tcPr>
            <w:tcW w:type="dxa" w:w="54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AMFI bulk data feed; migrate from SQLite to PostgreSQL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NLP Fact Sheet Analysis</w:t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2027</w:t>
            </w:r>
          </w:p>
        </w:tc>
        <w:tc>
          <w:tcPr>
            <w:tcW w:type="dxa" w:w="54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Extract insights from fund fact sheets and SID documents using LLMs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13. Appendices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EDA findings, glossary, and change log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Appendix A — 15 EDA Charts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5640"/>
      </w:tblGrid>
      <w:tr>
        <w:trPr>
          <w:tblHeader/>
        </w:trPr>
        <w:tc>
          <w:tcPr>
            <w:tcW w:type="dxa" w:w="72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Chart #</w:t>
            </w:r>
          </w:p>
        </w:tc>
        <w:tc>
          <w:tcPr>
            <w:tcW w:type="dxa" w:w="264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64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Daily NAV Trend — All 40 Schemes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Bull-run visible in 2023; late-2024 correction clearly marked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AUM by Fund House (2022–2025)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SBI leads with highest growth — Rs 12.5L Cr by 2025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Monthly SIP Inflows Time-Series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ATH of Rs 31,002 Cr in Dec 2025 annotated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Category Net Inflow Heatmap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Equity and Liquid categories dominate year-round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Investor Age Group Distribution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26–35 cohort dominates at ~41%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Investor Gender Split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Male 66.5% / Female 33.5%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Top 15 States by SIP Amount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Maharashtra and Delhi lead; Tier-2 states growing fast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Industry Folio Count Growth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+97% over 4 years — 13.26 Cr to 26.12 Cr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9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 Ratio Distribution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Direct plans average 0.57% lower than Regular plans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Category Return Comparison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Small/Mid Cap outperforms; Liquid/Debt provides stability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11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T30 vs B30 Transaction Split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T30: 66%, B30: 34%; B30 growing at faster rate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12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Sector Portfolio Heatmap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Banking sector: 652% aggregate weight across 40 funds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13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Transaction Type Distribution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SIP: 62%, Lumpsum: 28%, Redemption: 10%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14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NAV Correlation Heatmap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Large-cap fund correlations &gt; 0.85 — limited diversification</w:t>
            </w:r>
          </w:p>
        </w:tc>
      </w:tr>
      <w:tr>
        <w:tc>
          <w:tcPr>
            <w:tcW w:type="dxa" w:w="7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15</w:t>
            </w:r>
          </w:p>
        </w:tc>
        <w:tc>
          <w:tcPr>
            <w:tcW w:type="dxa" w:w="2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Fund House AUM Trend</w:t>
            </w:r>
          </w:p>
        </w:tc>
        <w:tc>
          <w:tcPr>
            <w:tcW w:type="dxa" w:w="56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All 5 AMCs show consistent AUM growth 2022–2025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Appendix B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AMFI</w:t>
            </w:r>
          </w:p>
        </w:tc>
        <w:tc>
          <w:tcPr>
            <w:tcW w:type="dxa" w:w="7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Association of Mutual Funds in India — the regulatory body for MF data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AUM</w:t>
            </w:r>
          </w:p>
        </w:tc>
        <w:tc>
          <w:tcPr>
            <w:tcW w:type="dxa" w:w="7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Assets Under Management — total market value of assets managed by a fund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CAGR</w:t>
            </w:r>
          </w:p>
        </w:tc>
        <w:tc>
          <w:tcPr>
            <w:tcW w:type="dxa" w:w="7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Compound Annual Growth Rate — year-over-year growth rate over a period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CVaR</w:t>
            </w:r>
          </w:p>
        </w:tc>
        <w:tc>
          <w:tcPr>
            <w:tcW w:type="dxa" w:w="7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Conditional Value at Risk — expected loss beyond the VaR threshold (Expected Shortfall)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ETL</w:t>
            </w:r>
          </w:p>
        </w:tc>
        <w:tc>
          <w:tcPr>
            <w:tcW w:type="dxa" w:w="7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Extract, Transform, Load — data pipeline process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HHI</w:t>
            </w:r>
          </w:p>
        </w:tc>
        <w:tc>
          <w:tcPr>
            <w:tcW w:type="dxa" w:w="7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Herfindahl-Hirschman Index — portfolio concentration measure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NAV</w:t>
            </w:r>
          </w:p>
        </w:tc>
        <w:tc>
          <w:tcPr>
            <w:tcW w:type="dxa" w:w="7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Net Asset Value — per-unit price of a mutual fund scheme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SIP</w:t>
            </w:r>
          </w:p>
        </w:tc>
        <w:tc>
          <w:tcPr>
            <w:tcW w:type="dxa" w:w="7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Systematic Investment Plan — fixed periodic investment in a mutual fund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TRI</w:t>
            </w:r>
          </w:p>
        </w:tc>
        <w:tc>
          <w:tcPr>
            <w:tcW w:type="dxa" w:w="7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Total Return Index — benchmark index including dividend reinvestment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VaR</w:t>
            </w:r>
          </w:p>
        </w:tc>
        <w:tc>
          <w:tcPr>
            <w:tcW w:type="dxa" w:w="7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Value at Risk — maximum expected loss at a given confidence level over a given horizon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T30/B30</w:t>
            </w:r>
          </w:p>
        </w:tc>
        <w:tc>
          <w:tcPr>
            <w:tcW w:type="dxa" w:w="7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Top 30 / Beyond 30 cities classification used by SEBI and AMFI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E6FBB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E6FBB"/>
          <w:sz w:val="26"/>
          <w:szCs w:val="26"/>
        </w:rPr>
        <w:t xml:space="preserve">Appendix C —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5260"/>
      </w:tblGrid>
      <w:tr>
        <w:trPr>
          <w:tblHeader/>
        </w:trPr>
        <w:tc>
          <w:tcPr>
            <w:tcW w:type="dxa" w:w="9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260"/>
            <w:tcBorders>
              <w:top w:val="single" w:color="1E6FBB" w:sz="4"/>
              <w:left w:val="single" w:color="1E6FBB" w:sz="4"/>
              <w:bottom w:val="single" w:color="1E6FBB" w:sz="4"/>
              <w:right w:val="single" w:color="1E6FBB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 Description</w:t>
            </w:r>
          </w:p>
        </w:tc>
      </w:tr>
      <w:tr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June 2026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Manas Bhole</w:t>
            </w:r>
          </w:p>
        </w:tc>
        <w:tc>
          <w:tcPr>
            <w:tcW w:type="dxa" w:w="52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Initial release — full technical documentation for Capstone Project I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End of Document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Manas Bhole  │  Bluestock Fintech  │  Data Analytics Engineering Track  │  June 2026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/>
      </w:pBdr>
      <w:tabs>
        <w:tab w:val="right" w:pos="9360"/>
      </w:tabs>
      <w:spacing w:after="0" w:before="6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 |  Manas Bhole  |  Bluestock Fintech</w:t>
    </w:r>
    <w:r>
      <w:rPr>
        <w:rFonts w:ascii="Calibri" w:cs="Calibri" w:eastAsia="Calibri" w:hAnsi="Calibri"/>
        <w:color w:val="64748B"/>
        <w:sz w:val="17"/>
        <w:szCs w:val="17"/>
      </w:rPr>
      <w:t xml:space="preserve">	Page </w:t>
    </w:r>
    <w:r>
      <w:rPr>
        <w:rFonts w:ascii="Calibri" w:cs="Calibri" w:eastAsia="Calibri" w:hAnsi="Calibri"/>
        <w:color w:val="1E6FBB"/>
        <w:sz w:val="17"/>
        <w:szCs w:val="17"/>
      </w:rPr>
      <w:fldChar w:fldCharType="begin"/>
    </w:r>
    <w:r>
      <w:rPr>
        <w:rFonts w:ascii="Calibri" w:cs="Calibri" w:eastAsia="Calibri" w:hAnsi="Calibri"/>
        <w:color w:val="1E6FBB"/>
        <w:sz w:val="17"/>
        <w:szCs w:val="17"/>
      </w:rPr>
      <w:instrText xml:space="preserve"> PAGE </w:instrText>
    </w:r>
    <w:r>
      <w:rPr>
        <w:rFonts w:ascii="Calibri" w:cs="Calibri" w:eastAsia="Calibri" w:hAnsi="Calibri"/>
        <w:color w:val="1E6FBB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BB" w:sz="6"/>
      </w:pBdr>
      <w:tabs>
        <w:tab w:val="right" w:pos="9360"/>
      </w:tabs>
      <w:spacing w:after="0"/>
    </w:pPr>
    <w:r>
      <w:rPr>
        <w:rFonts w:ascii="Calibri" w:cs="Calibri" w:eastAsia="Calibri" w:hAnsi="Calibri"/>
        <w:b/>
        <w:bCs/>
        <w:color w:val="0D1B3E"/>
        <w:sz w:val="18"/>
        <w:szCs w:val="18"/>
      </w:rPr>
      <w:t xml:space="preserve">Bluestock Fintech  |  Mutual Fund Analytics Platform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64748B"/>
        <w:sz w:val="18"/>
        <w:szCs w:val="18"/>
      </w:rPr>
      <w:t xml:space="preserve">Technical Documentation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E6FB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D1B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2026-06-13T08:40:08.894Z</dcterms:created>
  <dcterms:modified xsi:type="dcterms:W3CDTF">2026-06-13T08:40:08.894Z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