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EACE" w14:textId="77777777" w:rsidR="00CA5973" w:rsidRDefault="00CA5973" w:rsidP="00CA5973">
      <w:pPr>
        <w:jc w:val="center"/>
        <w:rPr>
          <w:b/>
          <w:bCs/>
          <w:sz w:val="40"/>
          <w:szCs w:val="40"/>
        </w:rPr>
      </w:pPr>
      <w:r w:rsidRPr="00CA5973">
        <w:rPr>
          <w:b/>
          <w:bCs/>
          <w:sz w:val="40"/>
          <w:szCs w:val="40"/>
        </w:rPr>
        <w:t>Employee Performance, Compensation, and Retention Analysis Report</w:t>
      </w:r>
    </w:p>
    <w:p w14:paraId="3AC645CA" w14:textId="77777777" w:rsidR="00CA5973" w:rsidRPr="00CA5973" w:rsidRDefault="00CA5973" w:rsidP="00CA5973">
      <w:pPr>
        <w:jc w:val="center"/>
        <w:rPr>
          <w:b/>
          <w:bCs/>
          <w:sz w:val="40"/>
          <w:szCs w:val="40"/>
        </w:rPr>
      </w:pPr>
    </w:p>
    <w:p w14:paraId="0CEED893" w14:textId="77777777" w:rsidR="00CA5973" w:rsidRPr="00CA5973" w:rsidRDefault="00CA5973" w:rsidP="00CA5973">
      <w:pPr>
        <w:rPr>
          <w:b/>
          <w:bCs/>
          <w:sz w:val="32"/>
          <w:szCs w:val="32"/>
        </w:rPr>
      </w:pPr>
      <w:r w:rsidRPr="00CA5973">
        <w:rPr>
          <w:b/>
          <w:bCs/>
          <w:sz w:val="32"/>
          <w:szCs w:val="32"/>
        </w:rPr>
        <w:t>Objective</w:t>
      </w:r>
    </w:p>
    <w:p w14:paraId="44EEA1D2" w14:textId="52544270" w:rsidR="00CA5973" w:rsidRDefault="00CA5973" w:rsidP="00CA5973">
      <w:r w:rsidRPr="00CA5973">
        <w:t>The objective of this analysis is to evaluate employee performance, compensation alignment, and retention patterns across departments, regions, and hiring periods. The goal is to identify operational inefficiencies, compensation risks, and areas where targeted interventions can improve productivity and financial outcomes.</w:t>
      </w:r>
    </w:p>
    <w:p w14:paraId="72CFAD55" w14:textId="77777777" w:rsidR="00CA5973" w:rsidRDefault="00CA5973" w:rsidP="00CA5973"/>
    <w:p w14:paraId="4D935428" w14:textId="77777777" w:rsidR="00CA5973" w:rsidRPr="00CA5973" w:rsidRDefault="00CA5973" w:rsidP="00CA5973"/>
    <w:p w14:paraId="11C2DDAB" w14:textId="77777777" w:rsidR="00CA5973" w:rsidRPr="00CA5973" w:rsidRDefault="00CA5973" w:rsidP="00CA5973">
      <w:pPr>
        <w:rPr>
          <w:b/>
          <w:bCs/>
          <w:sz w:val="32"/>
          <w:szCs w:val="32"/>
        </w:rPr>
      </w:pPr>
      <w:r w:rsidRPr="00CA5973">
        <w:rPr>
          <w:b/>
          <w:bCs/>
          <w:sz w:val="32"/>
          <w:szCs w:val="32"/>
        </w:rPr>
        <w:t>Data Overview</w:t>
      </w:r>
    </w:p>
    <w:p w14:paraId="7BBE9D91" w14:textId="77777777" w:rsidR="00CA5973" w:rsidRPr="00CA5973" w:rsidRDefault="00CA5973" w:rsidP="00CA5973">
      <w:r w:rsidRPr="00CA5973">
        <w:t>The analysis is based on employee-level data containing information on performance scores, salary, department, region, employment status, remote work arrangement, age group, and hiring year. The dataset enables both cross-sectional and time-based analysis of workforce trends.</w:t>
      </w:r>
    </w:p>
    <w:p w14:paraId="5AAFC992" w14:textId="55FF8733" w:rsidR="00CA5973" w:rsidRDefault="00CA5973" w:rsidP="00CA5973"/>
    <w:p w14:paraId="4E1CBA08" w14:textId="77777777" w:rsidR="00125CA1" w:rsidRPr="00CA5973" w:rsidRDefault="00125CA1" w:rsidP="00CA5973"/>
    <w:p w14:paraId="24D4D6A9" w14:textId="77777777" w:rsidR="00CA5973" w:rsidRPr="00CA5973" w:rsidRDefault="00CA5973" w:rsidP="00CA5973">
      <w:pPr>
        <w:rPr>
          <w:b/>
          <w:bCs/>
          <w:sz w:val="32"/>
          <w:szCs w:val="32"/>
        </w:rPr>
      </w:pPr>
      <w:r w:rsidRPr="00CA5973">
        <w:rPr>
          <w:b/>
          <w:bCs/>
          <w:sz w:val="32"/>
          <w:szCs w:val="32"/>
        </w:rPr>
        <w:t>Key Findings</w:t>
      </w:r>
    </w:p>
    <w:p w14:paraId="143BC519" w14:textId="77777777" w:rsidR="00CA5973" w:rsidRPr="00CA5973" w:rsidRDefault="00CA5973" w:rsidP="00CA5973">
      <w:r w:rsidRPr="00CA5973">
        <w:t>Employee performance varies significantly across departments. The gap between the highest- and lowest-performing departments is approximately nine percentage points, indicating structural differences rather than random variation. Certain departments consistently outperform others, while some lag behind despite comparable headcount and compensation levels.</w:t>
      </w:r>
    </w:p>
    <w:p w14:paraId="5405104B" w14:textId="77777777" w:rsidR="00CA5973" w:rsidRPr="00CA5973" w:rsidRDefault="00CA5973" w:rsidP="00CA5973">
      <w:r w:rsidRPr="00CA5973">
        <w:t>Remote work does not negatively impact performance. The proportion of high performers among remote employees is slightly higher than that of non-remote employees, but the difference is marginal. This suggests that remote work neither harms nor dramatically improves performance outcomes.</w:t>
      </w:r>
    </w:p>
    <w:p w14:paraId="614F00A2" w14:textId="77777777" w:rsidR="00CA5973" w:rsidRPr="00CA5973" w:rsidRDefault="00CA5973" w:rsidP="00CA5973">
      <w:r w:rsidRPr="00CA5973">
        <w:t>Hiring quality has been inconsistent across years. Some hiring cohorts show a higher concentration of inactive and low-performing employees, indicating variability in recruitment effectiveness and onboarding quality over time.</w:t>
      </w:r>
    </w:p>
    <w:p w14:paraId="2ED83C91" w14:textId="77777777" w:rsidR="00CA5973" w:rsidRPr="00CA5973" w:rsidRDefault="00CA5973" w:rsidP="00CA5973">
      <w:r w:rsidRPr="00CA5973">
        <w:lastRenderedPageBreak/>
        <w:t>Compensation is not fully aligned with performance. Mid-salary employees often perform as well as, or better than, top earners. Nearly half of employees in the highest salary quartile fall into the low-performance category, highlighting a significant compensation inefficiency.</w:t>
      </w:r>
    </w:p>
    <w:p w14:paraId="389847DD" w14:textId="77777777" w:rsidR="00CA5973" w:rsidRPr="00CA5973" w:rsidRDefault="00CA5973" w:rsidP="00CA5973">
      <w:r w:rsidRPr="00CA5973">
        <w:t>Regional disparities exist in both salary and performance. Certain regions offer higher median salaries but exhibit lower performance rates, suggesting that higher compensation does not always translate into higher productivity.</w:t>
      </w:r>
    </w:p>
    <w:p w14:paraId="4509C42C" w14:textId="77777777" w:rsidR="00CA5973" w:rsidRPr="00CA5973" w:rsidRDefault="00CA5973" w:rsidP="00CA5973">
      <w:r w:rsidRPr="00CA5973">
        <w:t>Employee resignations fluctuate across years, with specific periods experiencing noticeably higher inactive counts. This points to potential organizational or external factors affecting retention during those years.</w:t>
      </w:r>
    </w:p>
    <w:p w14:paraId="22B7B27D" w14:textId="78CB521D" w:rsidR="00CA5973" w:rsidRDefault="00CA5973" w:rsidP="00CA5973"/>
    <w:p w14:paraId="236EAD19" w14:textId="77777777" w:rsidR="00125CA1" w:rsidRDefault="00125CA1" w:rsidP="00CA5973"/>
    <w:p w14:paraId="7E77FE28" w14:textId="77777777" w:rsidR="00125CA1" w:rsidRPr="00CA5973" w:rsidRDefault="00125CA1" w:rsidP="00CA5973"/>
    <w:p w14:paraId="7C472B77" w14:textId="77777777" w:rsidR="00CA5973" w:rsidRPr="00CA5973" w:rsidRDefault="00CA5973" w:rsidP="00CA5973">
      <w:pPr>
        <w:rPr>
          <w:b/>
          <w:bCs/>
          <w:sz w:val="32"/>
          <w:szCs w:val="32"/>
        </w:rPr>
      </w:pPr>
      <w:r w:rsidRPr="00CA5973">
        <w:rPr>
          <w:b/>
          <w:bCs/>
          <w:sz w:val="32"/>
          <w:szCs w:val="32"/>
        </w:rPr>
        <w:t>Risk Analysis</w:t>
      </w:r>
    </w:p>
    <w:p w14:paraId="515B6E10" w14:textId="77777777" w:rsidR="00CA5973" w:rsidRPr="00CA5973" w:rsidRDefault="00CA5973" w:rsidP="00CA5973">
      <w:r w:rsidRPr="00CA5973">
        <w:t>Misaligned compensation structures pose a financial risk by allocating a disproportionate share of payroll to underperforming employees. Inconsistent hiring outcomes increase long-term productivity risk and place additional pressure on performance management systems. Departments and regions with persistent low-performance or high inactivity rates may negatively affect overall organizational effectiveness if left unaddressed.</w:t>
      </w:r>
    </w:p>
    <w:p w14:paraId="3B9A4324" w14:textId="5C5E45B5" w:rsidR="00CA5973" w:rsidRDefault="00CA5973" w:rsidP="00CA5973"/>
    <w:p w14:paraId="026EB111" w14:textId="77777777" w:rsidR="00125CA1" w:rsidRDefault="00125CA1" w:rsidP="00CA5973"/>
    <w:p w14:paraId="629CFFFB" w14:textId="77777777" w:rsidR="00125CA1" w:rsidRPr="00CA5973" w:rsidRDefault="00125CA1" w:rsidP="00CA5973"/>
    <w:p w14:paraId="280E8210" w14:textId="77777777" w:rsidR="00CA5973" w:rsidRPr="00CA5973" w:rsidRDefault="00CA5973" w:rsidP="00CA5973">
      <w:pPr>
        <w:rPr>
          <w:b/>
          <w:bCs/>
          <w:sz w:val="32"/>
          <w:szCs w:val="32"/>
        </w:rPr>
      </w:pPr>
      <w:r w:rsidRPr="00CA5973">
        <w:rPr>
          <w:b/>
          <w:bCs/>
          <w:sz w:val="32"/>
          <w:szCs w:val="32"/>
        </w:rPr>
        <w:t>Business Impact</w:t>
      </w:r>
    </w:p>
    <w:p w14:paraId="4FA06C50" w14:textId="77777777" w:rsidR="00CA5973" w:rsidRPr="00CA5973" w:rsidRDefault="00CA5973" w:rsidP="00CA5973">
      <w:r w:rsidRPr="00CA5973">
        <w:t>Addressing these issues can improve return on payroll investment, increase average employee performance, and stabilize retention patterns. Aligning compensation more closely with performance outcomes can reduce waste while incentivizing productivity. Improving hiring consistency can enhance long-term workforce quality and reduce attrition-related costs.</w:t>
      </w:r>
    </w:p>
    <w:p w14:paraId="5868245C" w14:textId="5E8DFFCA" w:rsidR="00CA5973" w:rsidRDefault="00CA5973" w:rsidP="00CA5973"/>
    <w:p w14:paraId="33B53AE8" w14:textId="77777777" w:rsidR="00DA660D" w:rsidRDefault="00DA660D" w:rsidP="00CA5973"/>
    <w:p w14:paraId="367B979E" w14:textId="77777777" w:rsidR="00DA660D" w:rsidRDefault="00DA660D" w:rsidP="00CA5973"/>
    <w:p w14:paraId="11067A0D" w14:textId="77777777" w:rsidR="00DA660D" w:rsidRPr="00CA5973" w:rsidRDefault="00DA660D" w:rsidP="00CA5973"/>
    <w:p w14:paraId="2E47BB75" w14:textId="77777777" w:rsidR="00CA5973" w:rsidRPr="00CA5973" w:rsidRDefault="00CA5973" w:rsidP="00CA5973">
      <w:pPr>
        <w:rPr>
          <w:b/>
          <w:bCs/>
          <w:sz w:val="32"/>
          <w:szCs w:val="32"/>
        </w:rPr>
      </w:pPr>
      <w:r w:rsidRPr="00CA5973">
        <w:rPr>
          <w:b/>
          <w:bCs/>
          <w:sz w:val="32"/>
          <w:szCs w:val="32"/>
        </w:rPr>
        <w:lastRenderedPageBreak/>
        <w:t>Recommendations</w:t>
      </w:r>
    </w:p>
    <w:p w14:paraId="10EF4FC6" w14:textId="77777777" w:rsidR="00CA5973" w:rsidRPr="00CA5973" w:rsidRDefault="00CA5973" w:rsidP="00CA5973">
      <w:r w:rsidRPr="00CA5973">
        <w:t>Introduce performance-linked compensation reviews, particularly within higher salary bands, to ensure pay reflects contribution. Conduct targeted audits of hiring practices from low-performing recruitment years to identify and correct systemic issues. Implement focused performance improvement programs for underperforming departments and regions. Continue supporting remote work arrangements while strengthening accountability and performance tracking frameworks rather than imposing blanket restrictions.</w:t>
      </w:r>
    </w:p>
    <w:p w14:paraId="47D4115B" w14:textId="77777777" w:rsidR="00CA5973" w:rsidRPr="00CA5973" w:rsidRDefault="00CA5973" w:rsidP="00CA5973">
      <w:r w:rsidRPr="00CA5973">
        <w:t>suggests that a data-driven, targeted approach will be more effective than uniform policies in improving workforce efficiency and organizational outcomes.</w:t>
      </w:r>
    </w:p>
    <w:p w14:paraId="2DAAB344" w14:textId="38456F43" w:rsidR="00CA5973" w:rsidRDefault="00CA5973" w:rsidP="00CA5973"/>
    <w:p w14:paraId="1A6BD49E" w14:textId="77777777" w:rsidR="00A931D3" w:rsidRDefault="00A931D3" w:rsidP="00CA5973"/>
    <w:p w14:paraId="67B26A6D" w14:textId="77777777" w:rsidR="00A931D3" w:rsidRPr="00CA5973" w:rsidRDefault="00A931D3" w:rsidP="00CA5973"/>
    <w:p w14:paraId="08ABFE11" w14:textId="77777777" w:rsidR="00CA5973" w:rsidRPr="00CA5973" w:rsidRDefault="00CA5973" w:rsidP="00CA5973">
      <w:pPr>
        <w:rPr>
          <w:b/>
          <w:bCs/>
        </w:rPr>
      </w:pPr>
      <w:r w:rsidRPr="00CA5973">
        <w:rPr>
          <w:b/>
          <w:bCs/>
          <w:sz w:val="32"/>
          <w:szCs w:val="32"/>
        </w:rPr>
        <w:t>Conclusion</w:t>
      </w:r>
    </w:p>
    <w:p w14:paraId="493E74CB" w14:textId="77777777" w:rsidR="00CA5973" w:rsidRPr="00CA5973" w:rsidRDefault="00CA5973" w:rsidP="00CA5973">
      <w:r w:rsidRPr="00CA5973">
        <w:t>The analysis demonstrates that performance, compensation, and retention are interconnected but not always aligned. Salary and tenure alone do not guarantee high performance, and structural differences across departments, regions, and hiring cohorts play a significant role in workforce outcomes. Strategic, evidence-based interventions are necessary to optimize both human capital and financial efficiency.</w:t>
      </w:r>
    </w:p>
    <w:p w14:paraId="3B326905" w14:textId="77777777" w:rsidR="005648BA" w:rsidRDefault="005648BA"/>
    <w:sectPr w:rsidR="00564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BA"/>
    <w:rsid w:val="00125CA1"/>
    <w:rsid w:val="005648BA"/>
    <w:rsid w:val="00945028"/>
    <w:rsid w:val="00A931D3"/>
    <w:rsid w:val="00CA5973"/>
    <w:rsid w:val="00DA6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A3DE"/>
  <w15:chartTrackingRefBased/>
  <w15:docId w15:val="{2C759B4B-0266-4099-AF1C-8A8CE23A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8BA"/>
    <w:rPr>
      <w:rFonts w:eastAsiaTheme="majorEastAsia" w:cstheme="majorBidi"/>
      <w:color w:val="272727" w:themeColor="text1" w:themeTint="D8"/>
    </w:rPr>
  </w:style>
  <w:style w:type="paragraph" w:styleId="Title">
    <w:name w:val="Title"/>
    <w:basedOn w:val="Normal"/>
    <w:next w:val="Normal"/>
    <w:link w:val="TitleChar"/>
    <w:uiPriority w:val="10"/>
    <w:qFormat/>
    <w:rsid w:val="00564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8BA"/>
    <w:pPr>
      <w:spacing w:before="160"/>
      <w:jc w:val="center"/>
    </w:pPr>
    <w:rPr>
      <w:i/>
      <w:iCs/>
      <w:color w:val="404040" w:themeColor="text1" w:themeTint="BF"/>
    </w:rPr>
  </w:style>
  <w:style w:type="character" w:customStyle="1" w:styleId="QuoteChar">
    <w:name w:val="Quote Char"/>
    <w:basedOn w:val="DefaultParagraphFont"/>
    <w:link w:val="Quote"/>
    <w:uiPriority w:val="29"/>
    <w:rsid w:val="005648BA"/>
    <w:rPr>
      <w:i/>
      <w:iCs/>
      <w:color w:val="404040" w:themeColor="text1" w:themeTint="BF"/>
    </w:rPr>
  </w:style>
  <w:style w:type="paragraph" w:styleId="ListParagraph">
    <w:name w:val="List Paragraph"/>
    <w:basedOn w:val="Normal"/>
    <w:uiPriority w:val="34"/>
    <w:qFormat/>
    <w:rsid w:val="005648BA"/>
    <w:pPr>
      <w:ind w:left="720"/>
      <w:contextualSpacing/>
    </w:pPr>
  </w:style>
  <w:style w:type="character" w:styleId="IntenseEmphasis">
    <w:name w:val="Intense Emphasis"/>
    <w:basedOn w:val="DefaultParagraphFont"/>
    <w:uiPriority w:val="21"/>
    <w:qFormat/>
    <w:rsid w:val="005648BA"/>
    <w:rPr>
      <w:i/>
      <w:iCs/>
      <w:color w:val="0F4761" w:themeColor="accent1" w:themeShade="BF"/>
    </w:rPr>
  </w:style>
  <w:style w:type="paragraph" w:styleId="IntenseQuote">
    <w:name w:val="Intense Quote"/>
    <w:basedOn w:val="Normal"/>
    <w:next w:val="Normal"/>
    <w:link w:val="IntenseQuoteChar"/>
    <w:uiPriority w:val="30"/>
    <w:qFormat/>
    <w:rsid w:val="00564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8BA"/>
    <w:rPr>
      <w:i/>
      <w:iCs/>
      <w:color w:val="0F4761" w:themeColor="accent1" w:themeShade="BF"/>
    </w:rPr>
  </w:style>
  <w:style w:type="character" w:styleId="IntenseReference">
    <w:name w:val="Intense Reference"/>
    <w:basedOn w:val="DefaultParagraphFont"/>
    <w:uiPriority w:val="32"/>
    <w:qFormat/>
    <w:rsid w:val="00564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AB504-EECA-43DC-A441-19685CE2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Bhutra</dc:creator>
  <cp:keywords/>
  <dc:description/>
  <cp:lastModifiedBy>Manasi Bhutra</cp:lastModifiedBy>
  <cp:revision>5</cp:revision>
  <dcterms:created xsi:type="dcterms:W3CDTF">2026-01-16T13:41:00Z</dcterms:created>
  <dcterms:modified xsi:type="dcterms:W3CDTF">2026-01-16T13:45:00Z</dcterms:modified>
</cp:coreProperties>
</file>