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94E" w:rsidRPr="0062494E" w:rsidRDefault="0062494E" w:rsidP="0062494E">
      <w:pPr>
        <w:widowControl/>
        <w:shd w:val="clear" w:color="auto" w:fill="FFFFFF"/>
        <w:autoSpaceDE/>
        <w:autoSpaceDN/>
        <w:spacing w:after="100"/>
        <w:outlineLvl w:val="1"/>
        <w:rPr>
          <w:rFonts w:eastAsia="Times New Roman" w:cstheme="minorHAnsi"/>
          <w:b/>
          <w:bCs/>
          <w:color w:val="1F2328"/>
          <w:sz w:val="44"/>
          <w:szCs w:val="44"/>
          <w:lang w:eastAsia="en-IN"/>
        </w:rPr>
      </w:pPr>
      <w:r w:rsidRPr="0062494E">
        <w:rPr>
          <w:rFonts w:eastAsia="Times New Roman" w:cstheme="minorHAnsi"/>
          <w:b/>
          <w:bCs/>
          <w:color w:val="1F2328"/>
          <w:sz w:val="44"/>
          <w:szCs w:val="44"/>
          <w:lang w:eastAsia="en-IN"/>
        </w:rPr>
        <w:t>Sustainable Supply Chain Performance Dashboard in Power BI</w:t>
      </w:r>
      <w:r w:rsidRPr="0062494E">
        <w:rPr>
          <w:rFonts w:eastAsia="Times New Roman" w:cstheme="minorHAnsi"/>
          <w:b/>
          <w:bCs/>
          <w:color w:val="1F2328"/>
          <w:sz w:val="44"/>
          <w:szCs w:val="44"/>
          <w:lang w:eastAsia="en-IN"/>
        </w:rPr>
        <w:t xml:space="preserve"> </w:t>
      </w:r>
      <w:r w:rsidRPr="0062494E">
        <w:rPr>
          <w:rFonts w:cstheme="minorHAnsi"/>
          <w:b/>
          <w:sz w:val="44"/>
          <w:szCs w:val="44"/>
        </w:rPr>
        <w:t>Report</w:t>
      </w:r>
    </w:p>
    <w:p w:rsidR="0062494E" w:rsidRPr="0062494E" w:rsidRDefault="0062494E" w:rsidP="0062494E">
      <w:pPr>
        <w:rPr>
          <w:rFonts w:cstheme="minorHAnsi"/>
        </w:rPr>
      </w:pPr>
      <w:r w:rsidRPr="0062494E">
        <w:rPr>
          <w:rFonts w:cstheme="minorHAnsi"/>
        </w:rPr>
        <w:t>1. Skincare emerges as the most lucrative product category, contributing significantly to the total revenue of ₹57,77,705, with skincare products alone accounting for ₹24,16,280.</w:t>
      </w:r>
      <w:bookmarkStart w:id="0" w:name="_GoBack"/>
      <w:bookmarkEnd w:id="0"/>
    </w:p>
    <w:p w:rsidR="0062494E" w:rsidRPr="0062494E" w:rsidRDefault="0062494E" w:rsidP="0062494E">
      <w:pPr>
        <w:rPr>
          <w:rFonts w:cstheme="minorHAnsi"/>
        </w:rPr>
      </w:pPr>
      <w:r w:rsidRPr="0062494E">
        <w:rPr>
          <w:rFonts w:cstheme="minorHAnsi"/>
        </w:rPr>
        <w:t>2. The total number of products sold amounted to 46,099 units.</w:t>
      </w:r>
    </w:p>
    <w:p w:rsidR="0062494E" w:rsidRPr="0062494E" w:rsidRDefault="0062494E" w:rsidP="0062494E">
      <w:pPr>
        <w:rPr>
          <w:rFonts w:cstheme="minorHAnsi"/>
        </w:rPr>
      </w:pPr>
      <w:r w:rsidRPr="0062494E">
        <w:rPr>
          <w:rFonts w:cstheme="minorHAnsi"/>
        </w:rPr>
        <w:t>3. Roadways emerged as the primary mode of transportation, followed by seaways.</w:t>
      </w:r>
    </w:p>
    <w:p w:rsidR="0062494E" w:rsidRPr="0062494E" w:rsidRDefault="0062494E" w:rsidP="0062494E">
      <w:pPr>
        <w:rPr>
          <w:rFonts w:cstheme="minorHAnsi"/>
        </w:rPr>
      </w:pPr>
      <w:r w:rsidRPr="0062494E">
        <w:rPr>
          <w:rFonts w:cstheme="minorHAnsi"/>
        </w:rPr>
        <w:t>4. Among cities, Mumbai stands out as the top revenue-generating hub, closely trailed by Kolkata, while Delhi records the least revenue.</w:t>
      </w:r>
    </w:p>
    <w:p w:rsidR="0062494E" w:rsidRPr="0062494E" w:rsidRDefault="0062494E" w:rsidP="0062494E">
      <w:pPr>
        <w:rPr>
          <w:rFonts w:cstheme="minorHAnsi"/>
        </w:rPr>
      </w:pPr>
      <w:r w:rsidRPr="0062494E">
        <w:rPr>
          <w:rFonts w:cstheme="minorHAnsi"/>
        </w:rPr>
        <w:t>5. However, Kolkata leads in terms of the highest volume of products sold, followed by Mumbai.</w:t>
      </w:r>
    </w:p>
    <w:p w:rsidR="0062494E" w:rsidRPr="0062494E" w:rsidRDefault="0062494E" w:rsidP="0062494E">
      <w:pPr>
        <w:rPr>
          <w:rFonts w:cstheme="minorHAnsi"/>
        </w:rPr>
      </w:pPr>
      <w:r w:rsidRPr="0062494E">
        <w:rPr>
          <w:rFonts w:cstheme="minorHAnsi"/>
        </w:rPr>
        <w:t>6. "Route A" emerges as the preferred transportation route, facilitating the transit of over 43% of the products.</w:t>
      </w:r>
    </w:p>
    <w:p w:rsidR="0062494E" w:rsidRPr="0062494E" w:rsidRDefault="0062494E" w:rsidP="0062494E">
      <w:pPr>
        <w:rPr>
          <w:rFonts w:cstheme="minorHAnsi"/>
        </w:rPr>
      </w:pPr>
      <w:r w:rsidRPr="0062494E">
        <w:rPr>
          <w:rFonts w:cstheme="minorHAnsi"/>
        </w:rPr>
        <w:t>7. The overall satisfaction rate averages at 2.28, falling short of our target rate of 3.00.</w:t>
      </w:r>
    </w:p>
    <w:p w:rsidR="00A4554A" w:rsidRPr="0062494E" w:rsidRDefault="0062494E" w:rsidP="0062494E">
      <w:pPr>
        <w:rPr>
          <w:rFonts w:cstheme="minorHAnsi"/>
        </w:rPr>
      </w:pPr>
      <w:r w:rsidRPr="0062494E">
        <w:rPr>
          <w:rFonts w:cstheme="minorHAnsi"/>
        </w:rPr>
        <w:t>8. The average lead time for delivery stands at 14.77 days.</w:t>
      </w:r>
    </w:p>
    <w:sectPr w:rsidR="00A4554A" w:rsidRPr="0062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4E"/>
    <w:rsid w:val="0062494E"/>
    <w:rsid w:val="00A4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C592"/>
  <w15:chartTrackingRefBased/>
  <w15:docId w15:val="{96F078B1-C08E-4BAD-A5EF-B96D8CA4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 CHAUDHARI</dc:creator>
  <cp:keywords/>
  <dc:description/>
  <cp:lastModifiedBy>MRUDUL CHAUDHARI</cp:lastModifiedBy>
  <cp:revision>1</cp:revision>
  <dcterms:created xsi:type="dcterms:W3CDTF">2025-03-09T20:55:00Z</dcterms:created>
  <dcterms:modified xsi:type="dcterms:W3CDTF">2025-03-09T20:58:00Z</dcterms:modified>
</cp:coreProperties>
</file>