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b/>
          <w:bCs/>
          <w:color w:val="1B3A6B"/>
          <w:sz w:val="26"/>
          <w:szCs w:val="26"/>
        </w:rPr>
        <w:t xml:space="preserve">NATIONAL INSTITUTE OF TECHNOLOGY CALICUT</w:t>
      </w:r>
    </w:p>
    <w:p>
      <w:pPr>
        <w:spacing w:after="600" w:before="0"/>
        <w:jc w:val="center"/>
      </w:pPr>
      <w:r>
        <w:rPr>
          <w:rFonts w:ascii="Arial" w:cs="Arial" w:eastAsia="Arial" w:hAnsi="Arial"/>
          <w:color w:val="0F6E56"/>
          <w:sz w:val="23"/>
          <w:szCs w:val="23"/>
        </w:rPr>
        <w:t xml:space="preserve">Department of Mechanical Engineering</w:t>
      </w:r>
    </w:p>
    <w:p>
      <w:pPr>
        <w:spacing w:after="80" w:before="0"/>
        <w:jc w:val="center"/>
      </w:pPr>
      <w:r>
        <w:rPr>
          <w:rFonts w:ascii="Arial" w:cs="Arial" w:eastAsia="Arial" w:hAnsi="Arial"/>
          <w:b/>
          <w:bCs/>
          <w:color w:val="1B3A6B"/>
          <w:sz w:val="50"/>
          <w:szCs w:val="50"/>
        </w:rPr>
        <w:t xml:space="preserve">AquaGrow — Portable Integrated Farming with IoT</w:t>
      </w:r>
    </w:p>
    <w:p>
      <w:pPr>
        <w:spacing w:after="600" w:before="0"/>
        <w:jc w:val="center"/>
      </w:pPr>
      <w:r>
        <w:rPr>
          <w:rFonts w:ascii="Arial" w:cs="Arial" w:eastAsia="Arial" w:hAnsi="Arial"/>
          <w:i/>
          <w:iCs/>
          <w:color w:val="0F6E56"/>
          <w:sz w:val="28"/>
          <w:szCs w:val="28"/>
        </w:rPr>
        <w:t xml:space="preserve">Project Explanation Report for Faculty Review</w:t>
      </w:r>
    </w:p>
    <w:p>
      <w:pPr>
        <w:spacing w:after="40" w:before="0"/>
        <w:jc w:val="center"/>
      </w:pPr>
      <w:r>
        <w:rPr>
          <w:rFonts w:ascii="Arial" w:cs="Arial" w:eastAsia="Arial" w:hAnsi="Arial"/>
          <w:b/>
          <w:bCs/>
          <w:color w:val="1B3A6B"/>
          <w:sz w:val="22"/>
          <w:szCs w:val="22"/>
        </w:rPr>
        <w:t xml:space="preserve">Project Guide</w:t>
      </w:r>
    </w:p>
    <w:p>
      <w:pPr>
        <w:spacing w:after="20" w:before="0"/>
        <w:jc w:val="center"/>
      </w:pPr>
      <w:r>
        <w:rPr>
          <w:rFonts w:ascii="Arial" w:cs="Arial" w:eastAsia="Arial" w:hAnsi="Arial"/>
          <w:b/>
          <w:bCs/>
          <w:color w:val="0F6E56"/>
          <w:sz w:val="26"/>
          <w:szCs w:val="26"/>
        </w:rPr>
        <w:t xml:space="preserve">Dr. Ratna Kumar K</w:t>
      </w:r>
    </w:p>
    <w:p>
      <w:pPr>
        <w:spacing w:after="300" w:before="0"/>
        <w:jc w:val="center"/>
      </w:pPr>
      <w:r>
        <w:rPr>
          <w:rFonts w:ascii="Arial" w:cs="Arial" w:eastAsia="Arial" w:hAnsi="Arial"/>
          <w:color w:val="555555"/>
          <w:sz w:val="22"/>
          <w:szCs w:val="22"/>
        </w:rPr>
        <w:t xml:space="preserve">Assistant Professor, MED, NITC</w:t>
      </w:r>
    </w:p>
    <w:p>
      <w:pPr>
        <w:spacing w:after="60" w:before="0"/>
        <w:jc w:val="center"/>
      </w:pPr>
      <w:r>
        <w:rPr>
          <w:rFonts w:ascii="Arial" w:cs="Arial" w:eastAsia="Arial" w:hAnsi="Arial"/>
          <w:b/>
          <w:bCs/>
          <w:color w:val="1B3A6B"/>
          <w:sz w:val="22"/>
          <w:szCs w:val="22"/>
        </w:rPr>
        <w:t xml:space="preserve">Group Members</w:t>
      </w:r>
    </w:p>
    <w:p>
      <w:pPr>
        <w:spacing w:after="30" w:before="30"/>
        <w:jc w:val="center"/>
      </w:pPr>
      <w:r>
        <w:rPr>
          <w:rFonts w:ascii="Arial" w:cs="Arial" w:eastAsia="Arial" w:hAnsi="Arial"/>
          <w:color w:val="333333"/>
          <w:sz w:val="22"/>
          <w:szCs w:val="22"/>
        </w:rPr>
        <w:t xml:space="preserve">Manas N — B231064PE</w:t>
      </w:r>
    </w:p>
    <w:p>
      <w:pPr>
        <w:spacing w:after="30" w:before="30"/>
        <w:jc w:val="center"/>
      </w:pPr>
      <w:r>
        <w:rPr>
          <w:rFonts w:ascii="Arial" w:cs="Arial" w:eastAsia="Arial" w:hAnsi="Arial"/>
          <w:color w:val="333333"/>
          <w:sz w:val="22"/>
          <w:szCs w:val="22"/>
        </w:rPr>
        <w:t xml:space="preserve">Deepak Sabariraj S — B230901PE</w:t>
      </w:r>
    </w:p>
    <w:p>
      <w:pPr>
        <w:spacing w:after="30" w:before="30"/>
        <w:jc w:val="center"/>
      </w:pPr>
      <w:r>
        <w:rPr>
          <w:rFonts w:ascii="Arial" w:cs="Arial" w:eastAsia="Arial" w:hAnsi="Arial"/>
          <w:color w:val="333333"/>
          <w:sz w:val="22"/>
          <w:szCs w:val="22"/>
        </w:rPr>
        <w:t xml:space="preserve">Nisantthan S T — B231139PE</w:t>
      </w:r>
    </w:p>
    <w:p>
      <w:pPr>
        <w:spacing w:after="30" w:before="30"/>
        <w:jc w:val="center"/>
      </w:pPr>
      <w:r>
        <w:rPr>
          <w:rFonts w:ascii="Arial" w:cs="Arial" w:eastAsia="Arial" w:hAnsi="Arial"/>
          <w:color w:val="333333"/>
          <w:sz w:val="22"/>
          <w:szCs w:val="22"/>
        </w:rPr>
        <w:t xml:space="preserve">Athul Rag R — B230856PE</w:t>
      </w:r>
    </w:p>
    <w:p>
      <w:pPr>
        <w:spacing w:after="30" w:before="30"/>
        <w:jc w:val="center"/>
      </w:pPr>
      <w:r>
        <w:rPr>
          <w:rFonts w:ascii="Arial" w:cs="Arial" w:eastAsia="Arial" w:hAnsi="Arial"/>
          <w:color w:val="333333"/>
          <w:sz w:val="22"/>
          <w:szCs w:val="22"/>
        </w:rPr>
        <w:t xml:space="preserve">Tejavath Varma — B231288PE</w:t>
      </w:r>
    </w:p>
    <w:p>
      <w:pPr>
        <w:spacing w:after="0" w:before="300"/>
      </w:pPr>
    </w:p>
    <w:p>
      <w:pPr>
        <w:spacing w:after="0" w:before="0"/>
        <w:jc w:val="center"/>
      </w:pPr>
      <w:r>
        <w:rPr>
          <w:rFonts w:ascii="Arial" w:cs="Arial" w:eastAsia="Arial" w:hAnsi="Arial"/>
          <w:color w:val="777777"/>
          <w:sz w:val="22"/>
          <w:szCs w:val="22"/>
        </w:rPr>
        <w:t xml:space="preserve">April 2026</w:t>
      </w:r>
    </w:p>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What Is This Project About?</w:t>
      </w:r>
    </w:p>
    <w:p>
      <w:pPr>
        <w:spacing w:after="140" w:before="80"/>
      </w:pPr>
      <w:r>
        <w:rPr>
          <w:rFonts w:ascii="Arial" w:cs="Arial" w:eastAsia="Arial" w:hAnsi="Arial"/>
          <w:b/>
          <w:bCs/>
          <w:sz w:val="22"/>
          <w:szCs w:val="22"/>
        </w:rPr>
        <w:t xml:space="preserve">In simple terms: </w:t>
      </w:r>
      <w:r>
        <w:rPr>
          <w:rFonts w:ascii="Arial" w:cs="Arial" w:eastAsia="Arial" w:hAnsi="Arial"/>
          <w:sz w:val="22"/>
          <w:szCs w:val="22"/>
        </w:rPr>
        <w:t xml:space="preserve">We built a smart, miniature farming system that grows both fish and vegetables together in the same unit, and we have made a computer simulation that shows exactly how it works — including how sensors measure the water, how the crops grow, and what happens under different weather conditions.</w:t>
      </w:r>
    </w:p>
    <w:p>
      <w:pPr>
        <w:spacing w:after="0" w:before="80"/>
      </w:pPr>
    </w:p>
    <w:p>
      <w:pPr>
        <w:pBdr>
          <w:left w:val="single" w:color="0F6E56" w:sz="12" w:space="12"/>
        </w:pBdr>
        <w:spacing w:after="120" w:before="120"/>
        <w:ind w:left="560" w:right="560"/>
      </w:pPr>
      <w:r>
        <w:rPr>
          <w:rFonts w:ascii="Arial" w:cs="Arial" w:eastAsia="Arial" w:hAnsi="Arial"/>
          <w:i/>
          <w:iCs/>
          <w:color w:val="333333"/>
          <w:sz w:val="23"/>
          <w:szCs w:val="23"/>
        </w:rPr>
        <w:t xml:space="preserve">Think of it as a self-contained farm in a box — the fish waste feeds the plants, the plants clean the water for the fish, and IoT sensors watch over everything automatically.</w:t>
      </w:r>
    </w:p>
    <w:p>
      <w:pPr>
        <w:spacing w:after="0" w:before="80"/>
      </w:pPr>
    </w:p>
    <w:p>
      <w:pPr>
        <w:spacing w:after="140" w:before="80"/>
      </w:pPr>
      <w:r>
        <w:rPr>
          <w:rFonts w:ascii="Arial" w:cs="Arial" w:eastAsia="Arial" w:hAnsi="Arial"/>
          <w:sz w:val="22"/>
          <w:szCs w:val="22"/>
        </w:rPr>
        <w:t xml:space="preserve">This kind of system is called an aquaponics system. What makes our project different is three things:</w:t>
      </w:r>
    </w:p>
    <w:p>
      <w:pPr>
        <w:pStyle w:val="ListParagraph"/>
        <w:numPr>
          <w:ilvl w:val="0"/>
          <w:numId w:val="2"/>
        </w:numPr>
        <w:spacing w:after="50" w:before="50"/>
      </w:pPr>
      <w:r>
        <w:rPr>
          <w:rFonts w:ascii="Arial" w:cs="Arial" w:eastAsia="Arial" w:hAnsi="Arial"/>
          <w:b/>
          <w:bCs/>
          <w:sz w:val="22"/>
          <w:szCs w:val="22"/>
        </w:rPr>
        <w:t xml:space="preserve">It is portable — </w:t>
      </w:r>
      <w:r>
        <w:rPr>
          <w:rFonts w:ascii="Arial" w:cs="Arial" w:eastAsia="Arial" w:hAnsi="Arial"/>
          <w:sz w:val="22"/>
          <w:szCs w:val="22"/>
        </w:rPr>
        <w:t xml:space="preserve">the entire system can be moved from one place to another, making it suitable for rooftop gardens, balconies, or temporary setups.</w:t>
      </w:r>
    </w:p>
    <w:p>
      <w:pPr>
        <w:pStyle w:val="ListParagraph"/>
        <w:numPr>
          <w:ilvl w:val="0"/>
          <w:numId w:val="2"/>
        </w:numPr>
        <w:spacing w:after="50" w:before="50"/>
      </w:pPr>
      <w:r>
        <w:rPr>
          <w:rFonts w:ascii="Arial" w:cs="Arial" w:eastAsia="Arial" w:hAnsi="Arial"/>
          <w:b/>
          <w:bCs/>
          <w:sz w:val="22"/>
          <w:szCs w:val="22"/>
        </w:rPr>
        <w:t xml:space="preserve">It is IoT-enabled — </w:t>
      </w:r>
      <w:r>
        <w:rPr>
          <w:rFonts w:ascii="Arial" w:cs="Arial" w:eastAsia="Arial" w:hAnsi="Arial"/>
          <w:sz w:val="22"/>
          <w:szCs w:val="22"/>
        </w:rPr>
        <w:t xml:space="preserve">sensors constantly measure water quality, temperature, light, and nutrients, and send this data to the cloud so farmers can monitor and control the system from their phone.</w:t>
      </w:r>
    </w:p>
    <w:p>
      <w:pPr>
        <w:pStyle w:val="ListParagraph"/>
        <w:numPr>
          <w:ilvl w:val="0"/>
          <w:numId w:val="2"/>
        </w:numPr>
        <w:spacing w:after="50" w:before="50"/>
      </w:pPr>
      <w:r>
        <w:rPr>
          <w:rFonts w:ascii="Arial" w:cs="Arial" w:eastAsia="Arial" w:hAnsi="Arial"/>
          <w:b/>
          <w:bCs/>
          <w:sz w:val="22"/>
          <w:szCs w:val="22"/>
        </w:rPr>
        <w:t xml:space="preserve">It has a detailed simulation — </w:t>
      </w:r>
      <w:r>
        <w:rPr>
          <w:rFonts w:ascii="Arial" w:cs="Arial" w:eastAsia="Arial" w:hAnsi="Arial"/>
          <w:sz w:val="22"/>
          <w:szCs w:val="22"/>
        </w:rPr>
        <w:t xml:space="preserve">we built a Python program that mathematically models the entire system. Before we build the physical unit, we can test every scenario on the computer — what happens during Kerala's monsoon, during a summer heatwave, or even during a power cut.</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00" w:sz="6"/>
              <w:left w:val="single" w:color="7C4A00" w:sz="6"/>
              <w:bottom w:val="single" w:color="B0C4DE" w:sz="1"/>
              <w:right w:val="single" w:color="B0C4DE" w:sz="1"/>
            </w:tcBorders>
            <w:shd w:fill="FFF8E1" w:val="clear"/>
            <w:tcMar>
              <w:top w:type="dxa" w:w="140"/>
              <w:left w:type="dxa" w:w="220"/>
              <w:bottom w:type="dxa" w:w="140"/>
              <w:right w:type="dxa" w:w="220"/>
            </w:tcMar>
          </w:tcPr>
          <w:p>
            <w:pPr>
              <w:spacing w:after="80" w:before="0"/>
            </w:pPr>
            <w:r>
              <w:rPr>
                <w:rFonts w:ascii="Arial" w:cs="Arial" w:eastAsia="Arial" w:hAnsi="Arial"/>
                <w:b/>
                <w:bCs/>
                <w:color w:val="7C4A00"/>
                <w:sz w:val="22"/>
                <w:szCs w:val="22"/>
              </w:rPr>
              <w:t xml:space="preserve">  Why this matters</w:t>
            </w:r>
          </w:p>
          <w:p>
            <w:pPr>
              <w:spacing w:after="0" w:before="0"/>
            </w:pPr>
            <w:r>
              <w:rPr>
                <w:rFonts w:ascii="Arial" w:cs="Arial" w:eastAsia="Arial" w:hAnsi="Arial"/>
                <w:sz w:val="22"/>
                <w:szCs w:val="22"/>
              </w:rPr>
              <w:t xml:space="preserve">India is urbanising rapidly. Farmland is shrinking. Water is scarce. A portable system that uses 90% less water than conventional farming, needs no soil, and can be run from a phone is a practical answer to food security for urban households, restaurants, and educational institutions.</w:t>
            </w:r>
          </w:p>
        </w:tc>
      </w:tr>
    </w:tbl>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How the Physical System Works</w:t>
      </w:r>
    </w:p>
    <w:p>
      <w:pPr>
        <w:spacing w:after="140" w:before="80"/>
      </w:pPr>
      <w:r>
        <w:rPr>
          <w:rFonts w:ascii="Arial" w:cs="Arial" w:eastAsia="Arial" w:hAnsi="Arial"/>
          <w:sz w:val="22"/>
          <w:szCs w:val="22"/>
        </w:rPr>
        <w:t xml:space="preserve">Before we explain the simulation, it helps to understand the real physical system it is modelling. There are four main components that work in a loop:</w:t>
      </w:r>
    </w:p>
    <w:p>
      <w:pPr>
        <w:pStyle w:val="Heading2"/>
        <w:spacing w:after="120" w:before="320"/>
      </w:pPr>
      <w:r>
        <w:rPr>
          <w:rFonts w:ascii="Arial" w:cs="Arial" w:eastAsia="Arial" w:hAnsi="Arial"/>
          <w:b/>
          <w:bCs/>
          <w:color w:val="0F6E56"/>
          <w:sz w:val="30"/>
          <w:szCs w:val="30"/>
        </w:rPr>
        <w:t xml:space="preserve">The Fish Tank</w:t>
      </w:r>
    </w:p>
    <w:p>
      <w:pPr>
        <w:spacing w:after="140" w:before="80"/>
      </w:pPr>
      <w:r>
        <w:rPr>
          <w:rFonts w:ascii="Arial" w:cs="Arial" w:eastAsia="Arial" w:hAnsi="Arial"/>
          <w:sz w:val="22"/>
          <w:szCs w:val="22"/>
        </w:rPr>
        <w:t xml:space="preserve">The fish tank holds tilapia fish. Fish eat food, and as a natural biological process, they produce waste — primarily in the form of ammonia dissolved in the water. This ammonia is toxic to the fish if it builds up. So the water is continuously pumped out of the tank and into the next stage.</w:t>
      </w:r>
    </w:p>
    <w:p>
      <w:pPr>
        <w:pStyle w:val="Heading2"/>
        <w:spacing w:after="120" w:before="320"/>
      </w:pPr>
      <w:r>
        <w:rPr>
          <w:rFonts w:ascii="Arial" w:cs="Arial" w:eastAsia="Arial" w:hAnsi="Arial"/>
          <w:b/>
          <w:bCs/>
          <w:color w:val="0F6E56"/>
          <w:sz w:val="30"/>
          <w:szCs w:val="30"/>
        </w:rPr>
        <w:t xml:space="preserve">The Biofilter</w:t>
      </w:r>
    </w:p>
    <w:p>
      <w:pPr>
        <w:spacing w:after="140" w:before="80"/>
      </w:pPr>
      <w:r>
        <w:rPr>
          <w:rFonts w:ascii="Arial" w:cs="Arial" w:eastAsia="Arial" w:hAnsi="Arial"/>
          <w:sz w:val="22"/>
          <w:szCs w:val="22"/>
        </w:rPr>
        <w:t xml:space="preserve">The biofilter is a chamber packed with a porous media on which two types of beneficial bacteria grow naturally. The first type of bacteria (called Nitrosomonas) converts the ammonia into nitrite. The second type (called Nitrobacter) then converts that nitrite into nitrate. Nitrate is not toxic to fish at low concentrations, and — crucially — it is exactly the nitrogen compound that plants need to grow. So the biofilter is essentially converting fish waste into plant fertiliser.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B0C4DE" w:sz="1"/>
              <w:right w:val="single" w:color="B0C4DE" w:sz="1"/>
            </w:tcBorders>
            <w:shd w:fill="E8F5E9" w:val="clear"/>
            <w:tcMar>
              <w:top w:type="dxa" w:w="140"/>
              <w:left w:type="dxa" w:w="220"/>
              <w:bottom w:type="dxa" w:w="140"/>
              <w:right w:type="dxa" w:w="220"/>
            </w:tcMar>
          </w:tcPr>
          <w:p>
            <w:pPr>
              <w:spacing w:after="80" w:before="0"/>
            </w:pPr>
            <w:r>
              <w:rPr>
                <w:rFonts w:ascii="Arial" w:cs="Arial" w:eastAsia="Arial" w:hAnsi="Arial"/>
                <w:b/>
                <w:bCs/>
                <w:color w:val="1B6B3A"/>
                <w:sz w:val="22"/>
                <w:szCs w:val="22"/>
              </w:rPr>
              <w:t xml:space="preserve">  The key insight</w:t>
            </w:r>
          </w:p>
          <w:p>
            <w:pPr>
              <w:spacing w:after="0" w:before="0"/>
            </w:pPr>
            <w:r>
              <w:rPr>
                <w:rFonts w:ascii="Arial" w:cs="Arial" w:eastAsia="Arial" w:hAnsi="Arial"/>
                <w:sz w:val="22"/>
                <w:szCs w:val="22"/>
              </w:rPr>
              <w:t xml:space="preserve">In conventional farming, a farmer buys chemical fertiliser to provide nitrogen to crops. In our aquaponics system, the fish provide that nitrogen for free as a byproduct of their metabolism. This is why the system is so resource-efficient.</w:t>
            </w:r>
          </w:p>
        </w:tc>
      </w:tr>
    </w:tbl>
    <w:p>
      <w:pPr>
        <w:pStyle w:val="Heading2"/>
        <w:spacing w:after="120" w:before="320"/>
      </w:pPr>
      <w:r>
        <w:rPr>
          <w:rFonts w:ascii="Arial" w:cs="Arial" w:eastAsia="Arial" w:hAnsi="Arial"/>
          <w:b/>
          <w:bCs/>
          <w:color w:val="0F6E56"/>
          <w:sz w:val="30"/>
          <w:szCs w:val="30"/>
        </w:rPr>
        <w:t xml:space="preserve">The Hydroponic Grow Beds</w:t>
      </w:r>
    </w:p>
    <w:p>
      <w:pPr>
        <w:spacing w:after="140" w:before="80"/>
      </w:pPr>
      <w:r>
        <w:rPr>
          <w:rFonts w:ascii="Arial" w:cs="Arial" w:eastAsia="Arial" w:hAnsi="Arial"/>
          <w:sz w:val="22"/>
          <w:szCs w:val="22"/>
        </w:rPr>
        <w:t xml:space="preserve">The nitrate-rich water from the biofilter flows into the hydroponic grow beds, which hold the plants — typically lettuce, spinach, basil, or kale. The plant roots hang directly into the nutrient-rich water and absorb the nitrate. This does two things at once: the plants get fed and grow quickly, and the water gets cleaned of excess nitrate. The now-clean water flows back into the fish tank. The loop is complete.</w:t>
      </w:r>
    </w:p>
    <w:p>
      <w:pPr>
        <w:pStyle w:val="Heading2"/>
        <w:spacing w:after="120" w:before="320"/>
      </w:pPr>
      <w:r>
        <w:rPr>
          <w:rFonts w:ascii="Arial" w:cs="Arial" w:eastAsia="Arial" w:hAnsi="Arial"/>
          <w:b/>
          <w:bCs/>
          <w:color w:val="0F6E56"/>
          <w:sz w:val="30"/>
          <w:szCs w:val="30"/>
        </w:rPr>
        <w:t xml:space="preserve">The IoT Sensor Network</w:t>
      </w:r>
    </w:p>
    <w:p>
      <w:pPr>
        <w:spacing w:after="140" w:before="80"/>
      </w:pPr>
      <w:r>
        <w:rPr>
          <w:rFonts w:ascii="Arial" w:cs="Arial" w:eastAsia="Arial" w:hAnsi="Arial"/>
          <w:sz w:val="22"/>
          <w:szCs w:val="22"/>
        </w:rPr>
        <w:t xml:space="preserve">Eight sensors are embedded in the system, monitored by an ESP32 microcontroller, and connected to the Zoho IoT cloud platform. The sensors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pPr>
              <w:spacing w:after="140" w:before="80"/>
            </w:pPr>
            <w:r>
              <w:rPr>
                <w:rFonts w:ascii="Arial" w:cs="Arial" w:eastAsia="Arial" w:hAnsi="Arial"/>
                <w:b/>
                <w:bCs/>
                <w:color w:val="FFFFFF"/>
                <w:sz w:val="20"/>
                <w:szCs w:val="20"/>
              </w:rPr>
              <w:t xml:space="preserve">Sensor</w:t>
            </w:r>
          </w:p>
        </w:tc>
        <w:tc>
          <w:tcPr>
            <w:tcW w:type="dxa" w:w="28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pPr>
              <w:spacing w:after="140" w:before="80"/>
            </w:pPr>
            <w:r>
              <w:rPr>
                <w:rFonts w:ascii="Arial" w:cs="Arial" w:eastAsia="Arial" w:hAnsi="Arial"/>
                <w:b/>
                <w:bCs/>
                <w:color w:val="FFFFFF"/>
                <w:sz w:val="20"/>
                <w:szCs w:val="20"/>
              </w:rPr>
              <w:t xml:space="preserve">What it measures</w:t>
            </w:r>
          </w:p>
        </w:tc>
        <w:tc>
          <w:tcPr>
            <w:tcW w:type="dxa" w:w="4026"/>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pPr>
              <w:spacing w:after="140" w:before="80"/>
            </w:pPr>
            <w:r>
              <w:rPr>
                <w:rFonts w:ascii="Arial" w:cs="Arial" w:eastAsia="Arial" w:hAnsi="Arial"/>
                <w:b/>
                <w:bCs/>
                <w:color w:val="FFFFFF"/>
                <w:sz w:val="20"/>
                <w:szCs w:val="20"/>
              </w:rPr>
              <w:t xml:space="preserve">Why it matters</w:t>
            </w:r>
          </w:p>
        </w:tc>
      </w:tr>
      <w:tr>
        <w:tc>
          <w:tcPr>
            <w:tcW w:type="dxa" w:w="22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pH sensor</w:t>
            </w:r>
          </w:p>
        </w:tc>
        <w:tc>
          <w:tcPr>
            <w:tcW w:type="dxa" w:w="28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Acidity of the water (scale 0–14)</w:t>
            </w:r>
          </w:p>
        </w:tc>
        <w:tc>
          <w:tcPr>
            <w:tcW w:type="dxa" w:w="4026"/>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Fish need pH 6.8–7.2; outside this, ammonia becomes toxic and nutrients become unavailable to plants</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Temperature sensor</w:t>
            </w:r>
          </w:p>
        </w:tc>
        <w:tc>
          <w:tcPr>
            <w:tcW w:type="dxa" w:w="28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Water temperature in °C</w:t>
            </w:r>
          </w:p>
        </w:tc>
        <w:tc>
          <w:tcPr>
            <w:tcW w:type="dxa" w:w="4026"/>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Fish metabolism, bacterial activity, and plant growth rates all depend on temperature</w:t>
            </w:r>
          </w:p>
        </w:tc>
      </w:tr>
      <w:tr>
        <w:tc>
          <w:tcPr>
            <w:tcW w:type="dxa" w:w="22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EC sensor</w:t>
            </w:r>
          </w:p>
        </w:tc>
        <w:tc>
          <w:tcPr>
            <w:tcW w:type="dxa" w:w="28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Electrical Conductivity — how much dissolved nutrient is in the water</w:t>
            </w:r>
          </w:p>
        </w:tc>
        <w:tc>
          <w:tcPr>
            <w:tcW w:type="dxa" w:w="4026"/>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Too low means plants are starving; too high means salt stress</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DO sensor</w:t>
            </w:r>
          </w:p>
        </w:tc>
        <w:tc>
          <w:tcPr>
            <w:tcW w:type="dxa" w:w="28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Dissolved Oxygen in mg/L</w:t>
            </w:r>
          </w:p>
        </w:tc>
        <w:tc>
          <w:tcPr>
            <w:tcW w:type="dxa" w:w="4026"/>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Fish breathe dissolved oxygen; below 6 mg/L fish become stressed; below 4 mg/L they die</w:t>
            </w:r>
          </w:p>
        </w:tc>
      </w:tr>
      <w:tr>
        <w:tc>
          <w:tcPr>
            <w:tcW w:type="dxa" w:w="22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Turbidity sensor</w:t>
            </w:r>
          </w:p>
        </w:tc>
        <w:tc>
          <w:tcPr>
            <w:tcW w:type="dxa" w:w="28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Cloudiness of the water in NTU</w:t>
            </w:r>
          </w:p>
        </w:tc>
        <w:tc>
          <w:tcPr>
            <w:tcW w:type="dxa" w:w="4026"/>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High turbidity means excess organic matter — usually from overfeeding or algae bloom</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Water level sensor</w:t>
            </w:r>
          </w:p>
        </w:tc>
        <w:tc>
          <w:tcPr>
            <w:tcW w:type="dxa" w:w="28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How full the reservoir is</w:t>
            </w:r>
          </w:p>
        </w:tc>
        <w:tc>
          <w:tcPr>
            <w:tcW w:type="dxa" w:w="4026"/>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Monitors for leaks and evaporation, triggers automatic top-up</w:t>
            </w:r>
          </w:p>
        </w:tc>
      </w:tr>
      <w:tr>
        <w:tc>
          <w:tcPr>
            <w:tcW w:type="dxa" w:w="22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Light sensor</w:t>
            </w:r>
          </w:p>
        </w:tc>
        <w:tc>
          <w:tcPr>
            <w:tcW w:type="dxa" w:w="28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Intensity of light reaching plants in klux</w:t>
            </w:r>
          </w:p>
        </w:tc>
        <w:tc>
          <w:tcPr>
            <w:tcW w:type="dxa" w:w="4026"/>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Plants need 25–40 klux for optimal photosynthesis</w:t>
            </w:r>
          </w:p>
        </w:tc>
      </w:tr>
      <w:tr>
        <w:tc>
          <w:tcPr>
            <w:tcW w:type="dxa" w:w="22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CO₂ sensor</w:t>
            </w:r>
          </w:p>
        </w:tc>
        <w:tc>
          <w:tcPr>
            <w:tcW w:type="dxa" w:w="28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Carbon dioxide concentration in ppm</w:t>
            </w:r>
          </w:p>
        </w:tc>
        <w:tc>
          <w:tcPr>
            <w:tcW w:type="dxa" w:w="4026"/>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Higher CO₂ accelerates plant photosynthesis up to about 1200 ppm</w:t>
            </w:r>
          </w:p>
        </w:tc>
      </w:tr>
    </w:tbl>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The Simulation — What We Built and Why</w:t>
      </w:r>
    </w:p>
    <w:p>
      <w:pPr>
        <w:spacing w:after="140" w:before="80"/>
      </w:pPr>
      <w:r>
        <w:rPr>
          <w:rFonts w:ascii="Arial" w:cs="Arial" w:eastAsia="Arial" w:hAnsi="Arial"/>
          <w:sz w:val="22"/>
          <w:szCs w:val="22"/>
        </w:rPr>
        <w:t xml:space="preserve">Building the physical system takes time and money. Before we invest in hardware, we need to answer questions like: How much yield will we actually get? What happens if the pH drifts? How long until the water quality crashes during a power cut? The simulation answers all of these questions mathematically.</w:t>
      </w:r>
    </w:p>
    <w:p>
      <w:pPr>
        <w:spacing w:after="140" w:before="80"/>
      </w:pPr>
      <w:r>
        <w:rPr>
          <w:rFonts w:ascii="Arial" w:cs="Arial" w:eastAsia="Arial" w:hAnsi="Arial"/>
          <w:sz w:val="22"/>
          <w:szCs w:val="22"/>
        </w:rPr>
        <w:t xml:space="preserve">We built the simulation in Python, using two main tools: NumPy and SciPy for the mathematics, and CustomTkinter with Matplotlib for the visual interface. The simulation has eight interactive panels, each answering a different question about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A8" w:sz="6"/>
              <w:left w:val="single" w:color="2563A8" w:sz="6"/>
              <w:bottom w:val="single" w:color="B0C4DE" w:sz="1"/>
              <w:right w:val="single" w:color="B0C4DE" w:sz="1"/>
            </w:tcBorders>
            <w:shd w:fill="EEF4FB" w:val="clear"/>
            <w:tcMar>
              <w:top w:type="dxa" w:w="140"/>
              <w:left w:type="dxa" w:w="220"/>
              <w:bottom w:type="dxa" w:w="140"/>
              <w:right w:type="dxa" w:w="220"/>
            </w:tcMar>
          </w:tcPr>
          <w:p>
            <w:pPr>
              <w:spacing w:after="80" w:before="0"/>
            </w:pPr>
            <w:r>
              <w:rPr>
                <w:rFonts w:ascii="Arial" w:cs="Arial" w:eastAsia="Arial" w:hAnsi="Arial"/>
                <w:b/>
                <w:bCs/>
                <w:color w:val="2563A8"/>
                <w:sz w:val="22"/>
                <w:szCs w:val="22"/>
              </w:rPr>
              <w:t xml:space="preserve">  What makes this a research-grade simulation</w:t>
            </w:r>
          </w:p>
          <w:p>
            <w:pPr>
              <w:spacing w:after="0" w:before="0"/>
            </w:pPr>
            <w:r>
              <w:rPr>
                <w:rFonts w:ascii="Arial" w:cs="Arial" w:eastAsia="Arial" w:hAnsi="Arial"/>
                <w:sz w:val="22"/>
                <w:szCs w:val="22"/>
              </w:rPr>
              <w:t xml:space="preserve">We are not just animating values. Every number in the simulation comes from either a mathematical equation or a real research paper. The yield figures come from a 2016 global meta-analysis of 42 hydroponic farms. The sensor noise model is calibrated from manufacturer datasheets. The nitrogen equations are the same differential equations published by Rakocy et al. (2006), who literally invented commercial aquaponics. Every claim the simulation makes can be traced back to a source.</w:t>
            </w:r>
          </w:p>
        </w:tc>
      </w:tr>
    </w:tbl>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How the Sensors Are Modelled in the Simulation</w:t>
      </w:r>
    </w:p>
    <w:p>
      <w:pPr>
        <w:spacing w:after="140" w:before="80"/>
      </w:pPr>
      <w:r>
        <w:rPr>
          <w:rFonts w:ascii="Arial" w:cs="Arial" w:eastAsia="Arial" w:hAnsi="Arial"/>
          <w:sz w:val="22"/>
          <w:szCs w:val="22"/>
        </w:rPr>
        <w:t xml:space="preserve">A real sensor does not give a perfect reading. If you put a pH sensor in water that is exactly pH 7.0, the sensor might read 6.97 one second, 7.04 the next, then 6.99. Over days and weeks, it might also slowly drift away from the true value due to fouling of the probe tip. Occasionally, a bubble of air or a vibration from the pump will cause a sudden spike in the reading.</w:t>
      </w:r>
    </w:p>
    <w:p>
      <w:pPr>
        <w:spacing w:after="140" w:before="80"/>
      </w:pPr>
      <w:r>
        <w:rPr>
          <w:rFonts w:ascii="Arial" w:cs="Arial" w:eastAsia="Arial" w:hAnsi="Arial"/>
          <w:sz w:val="22"/>
          <w:szCs w:val="22"/>
        </w:rPr>
        <w:t xml:space="preserve">Our simulation models all three of these realistic imperfections for every sensor:</w:t>
      </w:r>
    </w:p>
    <w:p>
      <w:pPr>
        <w:pStyle w:val="Heading2"/>
        <w:spacing w:after="120" w:before="320"/>
      </w:pPr>
      <w:r>
        <w:rPr>
          <w:rFonts w:ascii="Arial" w:cs="Arial" w:eastAsia="Arial" w:hAnsi="Arial"/>
          <w:b/>
          <w:bCs/>
          <w:color w:val="0F6E56"/>
          <w:sz w:val="30"/>
          <w:szCs w:val="30"/>
        </w:rPr>
        <w:t xml:space="preserve">Imperfection 1: Random Noise</w:t>
      </w:r>
    </w:p>
    <w:p>
      <w:pPr>
        <w:spacing w:after="140" w:before="80"/>
      </w:pPr>
      <w:r>
        <w:rPr>
          <w:rFonts w:ascii="Arial" w:cs="Arial" w:eastAsia="Arial" w:hAnsi="Arial"/>
          <w:sz w:val="22"/>
          <w:szCs w:val="22"/>
        </w:rPr>
        <w:t xml:space="preserve">Every sensor has a natural, random jitter around the true value. We model this using a Gaussian distribution — also called a bell curve. What this means practically is that most readings land very close to the true value, and readings far from the true value are rare but not impossible. The width of this bell curve is different for each sensor. For example, the temperature sensor (DS18B20) is very precise — its noise has a standard deviation of only 0.3°C. The turbidity sensor is less precise — its noise standard deviation is 1.0 NTU.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4A00" w:sz="6"/>
              <w:left w:val="single" w:color="7C4A00" w:sz="6"/>
              <w:bottom w:val="single" w:color="B0C4DE" w:sz="1"/>
              <w:right w:val="single" w:color="B0C4DE" w:sz="1"/>
            </w:tcBorders>
            <w:shd w:fill="FFF8E1" w:val="clear"/>
            <w:tcMar>
              <w:top w:type="dxa" w:w="140"/>
              <w:left w:type="dxa" w:w="220"/>
              <w:bottom w:type="dxa" w:w="140"/>
              <w:right w:type="dxa" w:w="220"/>
            </w:tcMar>
          </w:tcPr>
          <w:p>
            <w:pPr>
              <w:spacing w:after="80" w:before="0"/>
            </w:pPr>
            <w:r>
              <w:rPr>
                <w:rFonts w:ascii="Arial" w:cs="Arial" w:eastAsia="Arial" w:hAnsi="Arial"/>
                <w:b/>
                <w:bCs/>
                <w:color w:val="7C4A00"/>
                <w:sz w:val="22"/>
                <w:szCs w:val="22"/>
              </w:rPr>
              <w:t xml:space="preserve">  What Gaussian noise means in plain language</w:t>
            </w:r>
          </w:p>
          <w:p>
            <w:pPr>
              <w:spacing w:after="0" w:before="0"/>
            </w:pPr>
            <w:r>
              <w:rPr>
                <w:rFonts w:ascii="Arial" w:cs="Arial" w:eastAsia="Arial" w:hAnsi="Arial"/>
                <w:sz w:val="22"/>
                <w:szCs w:val="22"/>
              </w:rPr>
              <w:t xml:space="preserve">If we take 100 readings from the pH sensor when the true pH is exactly 7.0, about 68 of those readings will fall between 6.96 and 7.04 (within one standard deviation of 0.04 pH). About 95 of those readings will fall between 6.92 and 7.08. Only about 5 readings will be further than 0.08 pH away from the truth. This is the expected behaviour of a calibrated electrode sensor.</w:t>
            </w:r>
          </w:p>
        </w:tc>
      </w:tr>
    </w:tbl>
    <w:p>
      <w:pPr>
        <w:pStyle w:val="Heading2"/>
        <w:spacing w:after="120" w:before="320"/>
      </w:pPr>
      <w:r>
        <w:rPr>
          <w:rFonts w:ascii="Arial" w:cs="Arial" w:eastAsia="Arial" w:hAnsi="Arial"/>
          <w:b/>
          <w:bCs/>
          <w:color w:val="0F6E56"/>
          <w:sz w:val="30"/>
          <w:szCs w:val="30"/>
        </w:rPr>
        <w:t xml:space="preserve">Imperfection 2: Drift Over Time</w:t>
      </w:r>
    </w:p>
    <w:p>
      <w:pPr>
        <w:spacing w:after="140" w:before="80"/>
      </w:pPr>
      <w:r>
        <w:rPr>
          <w:rFonts w:ascii="Arial" w:cs="Arial" w:eastAsia="Arial" w:hAnsi="Arial"/>
          <w:sz w:val="22"/>
          <w:szCs w:val="22"/>
        </w:rPr>
        <w:t xml:space="preserve">As days and weeks pass, the sensor's reading slowly moves away from the true value even when nothing in the water has changed. This is called calibration drift. It happens because the chemical coating on a pH electrode slowly dissolves, the membrane of a dissolved oxygen probe slowly degrades, and biofilm builds up on sensing surfaces. In the simulation, we model this as the true measured value slowly increasing or decreasing at a fixed rate per hour — for example, the EC sensor drifts at 0.003 mS/cm per hour, which means after one week of continuous operation it could be reading 0.5 mS/cm higher than the actual value. This tells us how often each sensor needs to be recalibrated in the real system.</w:t>
      </w:r>
    </w:p>
    <w:p>
      <w:pPr>
        <w:pStyle w:val="Heading2"/>
        <w:spacing w:after="120" w:before="320"/>
      </w:pPr>
      <w:r>
        <w:rPr>
          <w:rFonts w:ascii="Arial" w:cs="Arial" w:eastAsia="Arial" w:hAnsi="Arial"/>
          <w:b/>
          <w:bCs/>
          <w:color w:val="0F6E56"/>
          <w:sz w:val="30"/>
          <w:szCs w:val="30"/>
        </w:rPr>
        <w:t xml:space="preserve">Imperfection 3: Spike Events</w:t>
      </w:r>
    </w:p>
    <w:p>
      <w:pPr>
        <w:spacing w:after="140" w:before="80"/>
      </w:pPr>
      <w:r>
        <w:rPr>
          <w:rFonts w:ascii="Arial" w:cs="Arial" w:eastAsia="Arial" w:hAnsi="Arial"/>
          <w:sz w:val="22"/>
          <w:szCs w:val="22"/>
        </w:rPr>
        <w:t xml:space="preserve">Occasionally, a sensor gives a completely wrong reading for a fraction of a second. This can happen when an air bubble passes over the pH electrode tip, when the pump switches on and creates a vibration that disturbs the turbidity sensor, or when there is a brief power fluctuation. We model these as random spike events. In the simulation, each sensor has a small probability of generating a spike at any given time step — the turbidity sensor has the highest spike probability at 4%, meaning on average once every 25 readings, while the temperature sensor almost never spikes at 1%.</w:t>
      </w:r>
    </w:p>
    <w:p>
      <w:pPr>
        <w:pStyle w:val="Heading2"/>
        <w:spacing w:after="120" w:before="320"/>
      </w:pPr>
      <w:r>
        <w:rPr>
          <w:rFonts w:ascii="Arial" w:cs="Arial" w:eastAsia="Arial" w:hAnsi="Arial"/>
          <w:b/>
          <w:bCs/>
          <w:color w:val="0F6E56"/>
          <w:sz w:val="30"/>
          <w:szCs w:val="30"/>
        </w:rPr>
        <w:t xml:space="preserve">How We Fix the Noise: The Kalman Filter</w:t>
      </w:r>
    </w:p>
    <w:p>
      <w:pPr>
        <w:spacing w:after="140" w:before="80"/>
      </w:pPr>
      <w:r>
        <w:rPr>
          <w:rFonts w:ascii="Arial" w:cs="Arial" w:eastAsia="Arial" w:hAnsi="Arial"/>
          <w:sz w:val="22"/>
          <w:szCs w:val="22"/>
        </w:rPr>
        <w:t xml:space="preserve">Because we know the mathematical model of how a sensor behaves, we can use a technique called Kalman filtering to separate the true signal from the noise. The Kalman filter does the following: it takes the new raw sensor reading, but it does not believe it completely. Instead, it blends the new reading with its previous best estimate of the true value. How much it trusts the new reading versus the old estimate depends on how noisy the sensor is — a very noisy sensor gets less trust, a precise sensor gets more trust.</w:t>
      </w:r>
    </w:p>
    <w:p>
      <w:pPr>
        <w:pBdr>
          <w:left w:val="single" w:color="0F6E56" w:sz="12" w:space="12"/>
        </w:pBdr>
        <w:spacing w:after="120" w:before="120"/>
        <w:ind w:left="560" w:right="560"/>
      </w:pPr>
      <w:r>
        <w:rPr>
          <w:rFonts w:ascii="Arial" w:cs="Arial" w:eastAsia="Arial" w:hAnsi="Arial"/>
          <w:i/>
          <w:iCs/>
          <w:color w:val="333333"/>
          <w:sz w:val="23"/>
          <w:szCs w:val="23"/>
        </w:rPr>
        <w:t xml:space="preserve">The Kalman filter is essentially doing what a careful, experienced engineer would do: not overreacting to a single unusual reading, but paying attention to the sustained trend.</w:t>
      </w:r>
    </w:p>
    <w:p>
      <w:pPr>
        <w:spacing w:after="140" w:before="80"/>
      </w:pPr>
      <w:r>
        <w:rPr>
          <w:rFonts w:ascii="Arial" w:cs="Arial" w:eastAsia="Arial" w:hAnsi="Arial"/>
          <w:sz w:val="22"/>
          <w:szCs w:val="22"/>
        </w:rPr>
        <w:t xml:space="preserve">In the simulation, we set the filter so that it incorporates roughly 9% of each new reading and carries forward 91% of the previous estimate. This effectively averages about 11 consecutive readings together, reducing the noise level by approximately 3 times. The simulation dashboard shows both the raw noisy signal and the Kalman-filtered signal on the same graph so the faculty can see exactly how much cleaning the filter is doing.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0C4DE" w:sz="1"/>
              <w:right w:val="single" w:color="B0C4DE" w:sz="1"/>
            </w:tcBorders>
            <w:shd w:fill="FBE9E7" w:val="clear"/>
            <w:tcMar>
              <w:top w:type="dxa" w:w="140"/>
              <w:left w:type="dxa" w:w="220"/>
              <w:bottom w:type="dxa" w:w="140"/>
              <w:right w:type="dxa" w:w="220"/>
            </w:tcMar>
          </w:tcPr>
          <w:p>
            <w:pPr>
              <w:spacing w:after="80" w:before="0"/>
            </w:pPr>
            <w:r>
              <w:rPr>
                <w:rFonts w:ascii="Arial" w:cs="Arial" w:eastAsia="Arial" w:hAnsi="Arial"/>
                <w:b/>
                <w:bCs/>
                <w:color w:val="B71C1C"/>
                <w:sz w:val="22"/>
                <w:szCs w:val="22"/>
              </w:rPr>
              <w:t xml:space="preserve">  Why this matters for the real system</w:t>
            </w:r>
          </w:p>
          <w:p>
            <w:pPr>
              <w:spacing w:after="0" w:before="0"/>
            </w:pPr>
            <w:r>
              <w:rPr>
                <w:rFonts w:ascii="Arial" w:cs="Arial" w:eastAsia="Arial" w:hAnsi="Arial"/>
                <w:sz w:val="22"/>
                <w:szCs w:val="22"/>
              </w:rPr>
              <w:t xml:space="preserve">If we feed raw unfiltered sensor readings directly into the control logic, a single spike event could cause the dosing pump to inject a large correction of acid or nutrient solution when no correction was needed. The Kalman filter prevents this from happening. It is one of the most important pieces of the software architecture.</w:t>
            </w:r>
          </w:p>
        </w:tc>
      </w:tr>
    </w:tbl>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How Crop Yield Is Calculated</w:t>
      </w:r>
    </w:p>
    <w:p>
      <w:pPr>
        <w:spacing w:after="140" w:before="80"/>
      </w:pPr>
      <w:r>
        <w:rPr>
          <w:rFonts w:ascii="Arial" w:cs="Arial" w:eastAsia="Arial" w:hAnsi="Arial"/>
          <w:sz w:val="22"/>
          <w:szCs w:val="22"/>
        </w:rPr>
        <w:t xml:space="preserve">The most important question for any farmer is: how much will I harvest? Our simulation gives a precise mathematical answer to this question based on all the current conditions in the system.</w:t>
      </w:r>
    </w:p>
    <w:p>
      <w:pPr>
        <w:pStyle w:val="Heading2"/>
        <w:spacing w:after="120" w:before="320"/>
      </w:pPr>
      <w:r>
        <w:rPr>
          <w:rFonts w:ascii="Arial" w:cs="Arial" w:eastAsia="Arial" w:hAnsi="Arial"/>
          <w:b/>
          <w:bCs/>
          <w:color w:val="0F6E56"/>
          <w:sz w:val="30"/>
          <w:szCs w:val="30"/>
        </w:rPr>
        <w:t xml:space="preserve">Step 1: Understanding That Every Parameter Limits Growth</w:t>
      </w:r>
    </w:p>
    <w:p>
      <w:pPr>
        <w:spacing w:after="140" w:before="80"/>
      </w:pPr>
      <w:r>
        <w:rPr>
          <w:rFonts w:ascii="Arial" w:cs="Arial" w:eastAsia="Arial" w:hAnsi="Arial"/>
          <w:sz w:val="22"/>
          <w:szCs w:val="22"/>
        </w:rPr>
        <w:t xml:space="preserve">A plant does not grow at its maximum rate unless every single environmental condition is right simultaneously. If the temperature is perfect but the pH is wrong, growth suffers. If the pH and temperature are both perfect but the light is too dim, growth still suffers. This is a well-established principle in agronomy called Liebig's Law of the Minimum — the crop yield is limited by the single most deficient factor, just as a barrel can only be filled to the height of its shortest stave.</w:t>
      </w:r>
    </w:p>
    <w:p>
      <w:pPr>
        <w:spacing w:after="140" w:before="80"/>
      </w:pPr>
      <w:r>
        <w:rPr>
          <w:rFonts w:ascii="Arial" w:cs="Arial" w:eastAsia="Arial" w:hAnsi="Arial"/>
          <w:sz w:val="22"/>
          <w:szCs w:val="22"/>
        </w:rPr>
        <w:t xml:space="preserve">Our simulation uses a continuous mathematical version of this principle. For every parameter, we calculate a number between 0 and 1 called a Stress Factor. A stress factor of 1.0 means that parameter is perfect and is causing no limitation on growth. A stress factor of 0.5 means that parameter is so far from ideal that it is cutting growth in half. A stress factor of 0.0 means that parameter is at a lethal level — no growth at all.</w:t>
      </w:r>
    </w:p>
    <w:p>
      <w:pPr>
        <w:pStyle w:val="Heading2"/>
        <w:spacing w:after="120" w:before="320"/>
      </w:pPr>
      <w:r>
        <w:rPr>
          <w:rFonts w:ascii="Arial" w:cs="Arial" w:eastAsia="Arial" w:hAnsi="Arial"/>
          <w:b/>
          <w:bCs/>
          <w:color w:val="0F6E56"/>
          <w:sz w:val="30"/>
          <w:szCs w:val="30"/>
        </w:rPr>
        <w:t xml:space="preserve">Step 2: Calculating Each Stress Factor</w:t>
      </w:r>
    </w:p>
    <w:p>
      <w:pPr>
        <w:spacing w:after="140" w:before="80"/>
      </w:pPr>
      <w:r>
        <w:rPr>
          <w:rFonts w:ascii="Arial" w:cs="Arial" w:eastAsia="Arial" w:hAnsi="Arial"/>
          <w:sz w:val="22"/>
          <w:szCs w:val="22"/>
        </w:rPr>
        <w:t xml:space="preserve">The stress factor for most parameters follows a bell curve shape. The parameter has an optimal range where the stress factor is close to 1.0, and it falls off on both sides of that range. For example, for temperature, the optimal range is 20°C to 26°C. If the temperature is exactly 23°C (the midpoint), the stress factor is 1.0 — perfect. If the temperature rises to 32°C, the stress factor drops to about 0.6, meaning yield is reduced to 60% of maximum. At 38°C (a hot Kerala summer day), the stress factor drops to about 0.3.</w:t>
      </w:r>
    </w:p>
    <w:p>
      <w:pPr>
        <w:spacing w:after="140" w:before="80"/>
      </w:pPr>
      <w:r>
        <w:rPr>
          <w:rFonts w:ascii="Arial" w:cs="Arial" w:eastAsia="Arial" w:hAnsi="Arial"/>
          <w:sz w:val="22"/>
          <w:szCs w:val="22"/>
        </w:rPr>
        <w:t xml:space="preserve">Why a bell curve and not just a straight line? Because real plant biology shows this shape. Plants are somewhat tolerant of small deviations from optimal — a 1°C change barely affects them. But as conditions move further from optimal, the effect accelerates. The bell curve captures this non-linear response accurately.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1400"/>
        <w:gridCol w:w="3026"/>
      </w:tblGrid>
      <w:tr>
        <w:trPr>
          <w:tblHeader/>
        </w:trPr>
        <w:tc>
          <w:tcPr>
            <w:tcW w:type="dxa" w:w="16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pPr>
              <w:spacing w:after="140" w:before="80"/>
            </w:pPr>
            <w:r>
              <w:rPr>
                <w:rFonts w:ascii="Arial" w:cs="Arial" w:eastAsia="Arial" w:hAnsi="Arial"/>
                <w:b/>
                <w:bCs/>
                <w:color w:val="FFFFFF"/>
                <w:sz w:val="20"/>
                <w:szCs w:val="20"/>
              </w:rPr>
              <w:t xml:space="preserve">Parameter</w:t>
            </w:r>
          </w:p>
        </w:tc>
        <w:tc>
          <w:tcPr>
            <w:tcW w:type="dxa" w:w="16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pPr>
              <w:spacing w:after="140" w:before="80"/>
            </w:pPr>
            <w:r>
              <w:rPr>
                <w:rFonts w:ascii="Arial" w:cs="Arial" w:eastAsia="Arial" w:hAnsi="Arial"/>
                <w:b/>
                <w:bCs/>
                <w:color w:val="FFFFFF"/>
                <w:sz w:val="20"/>
                <w:szCs w:val="20"/>
              </w:rPr>
              <w:t xml:space="preserve">Optimal range</w:t>
            </w:r>
          </w:p>
        </w:tc>
        <w:tc>
          <w:tcPr>
            <w:tcW w:type="dxa" w:w="14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pPr>
              <w:spacing w:after="140" w:before="80"/>
            </w:pPr>
            <w:r>
              <w:rPr>
                <w:rFonts w:ascii="Arial" w:cs="Arial" w:eastAsia="Arial" w:hAnsi="Arial"/>
                <w:b/>
                <w:bCs/>
                <w:color w:val="FFFFFF"/>
                <w:sz w:val="20"/>
                <w:szCs w:val="20"/>
              </w:rPr>
              <w:t xml:space="preserve">Stress factor at optimal</w:t>
            </w:r>
          </w:p>
        </w:tc>
        <w:tc>
          <w:tcPr>
            <w:tcW w:type="dxa" w:w="1400"/>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pPr>
              <w:spacing w:after="140" w:before="80"/>
            </w:pPr>
            <w:r>
              <w:rPr>
                <w:rFonts w:ascii="Arial" w:cs="Arial" w:eastAsia="Arial" w:hAnsi="Arial"/>
                <w:b/>
                <w:bCs/>
                <w:color w:val="FFFFFF"/>
                <w:sz w:val="20"/>
                <w:szCs w:val="20"/>
              </w:rPr>
              <w:t xml:space="preserve">Stress factor in stress condition</w:t>
            </w:r>
          </w:p>
        </w:tc>
        <w:tc>
          <w:tcPr>
            <w:tcW w:type="dxa" w:w="3026"/>
            <w:tcBorders>
              <w:top w:val="single" w:color="B0C4DE" w:sz="1"/>
              <w:left w:val="single" w:color="B0C4DE" w:sz="1"/>
              <w:bottom w:val="single" w:color="B0C4DE" w:sz="1"/>
              <w:right w:val="single" w:color="B0C4DE" w:sz="1"/>
            </w:tcBorders>
            <w:shd w:fill="1B3A6B" w:val="clear"/>
            <w:tcMar>
              <w:top w:type="dxa" w:w="80"/>
              <w:left w:type="dxa" w:w="140"/>
              <w:bottom w:type="dxa" w:w="80"/>
              <w:right w:type="dxa" w:w="140"/>
            </w:tcMar>
          </w:tcPr>
          <w:p>
            <w:pPr>
              <w:spacing w:after="140" w:before="80"/>
            </w:pPr>
            <w:r>
              <w:rPr>
                <w:rFonts w:ascii="Arial" w:cs="Arial" w:eastAsia="Arial" w:hAnsi="Arial"/>
                <w:b/>
                <w:bCs/>
                <w:color w:val="FFFFFF"/>
                <w:sz w:val="20"/>
                <w:szCs w:val="20"/>
              </w:rPr>
              <w:t xml:space="preserve">Basis for optimal range</w:t>
            </w:r>
          </w:p>
        </w:tc>
      </w:tr>
      <w:tr>
        <w:tc>
          <w:tcPr>
            <w:tcW w:type="dxa" w:w="16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Temperature</w:t>
            </w:r>
          </w:p>
        </w:tc>
        <w:tc>
          <w:tcPr>
            <w:tcW w:type="dxa" w:w="16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20 – 26°C</w:t>
            </w:r>
          </w:p>
        </w:tc>
        <w:tc>
          <w:tcPr>
            <w:tcW w:type="dxa" w:w="14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1.00</w:t>
            </w:r>
          </w:p>
        </w:tc>
        <w:tc>
          <w:tcPr>
            <w:tcW w:type="dxa" w:w="14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0.30 at 38°C</w:t>
            </w:r>
          </w:p>
        </w:tc>
        <w:tc>
          <w:tcPr>
            <w:tcW w:type="dxa" w:w="3026"/>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Enzyme kinetics and metabolic rate studies for Nile tilapia and lettuce</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pH</w:t>
            </w:r>
          </w:p>
        </w:tc>
        <w:tc>
          <w:tcPr>
            <w:tcW w:type="dxa" w:w="16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6.8 – 7.2</w:t>
            </w:r>
          </w:p>
        </w:tc>
        <w:tc>
          <w:tcPr>
            <w:tcW w:type="dxa" w:w="14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1.00</w:t>
            </w:r>
          </w:p>
        </w:tc>
        <w:tc>
          <w:tcPr>
            <w:tcW w:type="dxa" w:w="14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0.45 at pH 6.0</w:t>
            </w:r>
          </w:p>
        </w:tc>
        <w:tc>
          <w:tcPr>
            <w:tcW w:type="dxa" w:w="3026"/>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Nutrient solubility curves — iron, manganese, and zinc precipitate outside this range</w:t>
            </w:r>
          </w:p>
        </w:tc>
      </w:tr>
      <w:tr>
        <w:tc>
          <w:tcPr>
            <w:tcW w:type="dxa" w:w="16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EC (nutrients)</w:t>
            </w:r>
          </w:p>
        </w:tc>
        <w:tc>
          <w:tcPr>
            <w:tcW w:type="dxa" w:w="16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1.5 – 2.5 mS/cm</w:t>
            </w:r>
          </w:p>
        </w:tc>
        <w:tc>
          <w:tcPr>
            <w:tcW w:type="dxa" w:w="14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1.00</w:t>
            </w:r>
          </w:p>
        </w:tc>
        <w:tc>
          <w:tcPr>
            <w:tcW w:type="dxa" w:w="14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0.55 at 4.0 mS/cm</w:t>
            </w:r>
          </w:p>
        </w:tc>
        <w:tc>
          <w:tcPr>
            <w:tcW w:type="dxa" w:w="3026"/>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Osmotic stress threshold studies for leafy greens</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Dissolved Oxygen</w:t>
            </w:r>
          </w:p>
        </w:tc>
        <w:tc>
          <w:tcPr>
            <w:tcW w:type="dxa" w:w="16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6.0 – 8.0 mg/L</w:t>
            </w:r>
          </w:p>
        </w:tc>
        <w:tc>
          <w:tcPr>
            <w:tcW w:type="dxa" w:w="14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1.00</w:t>
            </w:r>
          </w:p>
        </w:tc>
        <w:tc>
          <w:tcPr>
            <w:tcW w:type="dxa" w:w="14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0.20 at 3.5 mg/L</w:t>
            </w:r>
          </w:p>
        </w:tc>
        <w:tc>
          <w:tcPr>
            <w:tcW w:type="dxa" w:w="3026"/>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Aerobic root metabolism requirements; fish health threshold</w:t>
            </w:r>
          </w:p>
        </w:tc>
      </w:tr>
      <w:tr>
        <w:tc>
          <w:tcPr>
            <w:tcW w:type="dxa" w:w="16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Light</w:t>
            </w:r>
          </w:p>
        </w:tc>
        <w:tc>
          <w:tcPr>
            <w:tcW w:type="dxa" w:w="16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25 – 40 klux</w:t>
            </w:r>
          </w:p>
        </w:tc>
        <w:tc>
          <w:tcPr>
            <w:tcW w:type="dxa" w:w="14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1.00</w:t>
            </w:r>
          </w:p>
        </w:tc>
        <w:tc>
          <w:tcPr>
            <w:tcW w:type="dxa" w:w="1400"/>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0.72 at 18 klux (monsoon)</w:t>
            </w:r>
          </w:p>
        </w:tc>
        <w:tc>
          <w:tcPr>
            <w:tcW w:type="dxa" w:w="3026"/>
            <w:tcBorders>
              <w:top w:val="single" w:color="B0C4DE" w:sz="1"/>
              <w:left w:val="single" w:color="B0C4DE" w:sz="1"/>
              <w:bottom w:val="single" w:color="B0C4DE" w:sz="1"/>
              <w:right w:val="single" w:color="B0C4DE" w:sz="1"/>
            </w:tcBorders>
            <w:shd w:fill="EEF4FB" w:val="clear"/>
            <w:tcMar>
              <w:top w:type="dxa" w:w="60"/>
              <w:left w:type="dxa" w:w="140"/>
              <w:bottom w:type="dxa" w:w="60"/>
              <w:right w:type="dxa" w:w="140"/>
            </w:tcMar>
          </w:tcPr>
          <w:p>
            <w:pPr>
              <w:spacing w:after="140" w:before="80"/>
            </w:pPr>
            <w:r>
              <w:rPr>
                <w:rFonts w:ascii="Arial" w:cs="Arial" w:eastAsia="Arial" w:hAnsi="Arial"/>
                <w:sz w:val="20"/>
                <w:szCs w:val="20"/>
              </w:rPr>
              <w:t xml:space="preserve">Photosynthetic light saturation curves for lettuce and basil</w:t>
            </w:r>
          </w:p>
        </w:tc>
      </w:tr>
      <w:tr>
        <w:tc>
          <w:tcPr>
            <w:tcW w:type="dxa" w:w="16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CO₂</w:t>
            </w:r>
          </w:p>
        </w:tc>
        <w:tc>
          <w:tcPr>
            <w:tcW w:type="dxa" w:w="16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700 – 1200 ppm</w:t>
            </w:r>
          </w:p>
        </w:tc>
        <w:tc>
          <w:tcPr>
            <w:tcW w:type="dxa" w:w="14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1.00</w:t>
            </w:r>
          </w:p>
        </w:tc>
        <w:tc>
          <w:tcPr>
            <w:tcW w:type="dxa" w:w="1400"/>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0.88 at 400 ppm (outdoor)</w:t>
            </w:r>
          </w:p>
        </w:tc>
        <w:tc>
          <w:tcPr>
            <w:tcW w:type="dxa" w:w="3026"/>
            <w:tcBorders>
              <w:top w:val="single" w:color="B0C4DE" w:sz="1"/>
              <w:left w:val="single" w:color="B0C4DE" w:sz="1"/>
              <w:bottom w:val="single" w:color="B0C4DE" w:sz="1"/>
              <w:right w:val="single" w:color="B0C4DE" w:sz="1"/>
            </w:tcBorders>
            <w:shd w:fill="FFFFFF" w:val="clear"/>
            <w:tcMar>
              <w:top w:type="dxa" w:w="60"/>
              <w:left w:type="dxa" w:w="140"/>
              <w:bottom w:type="dxa" w:w="60"/>
              <w:right w:type="dxa" w:w="140"/>
            </w:tcMar>
          </w:tcPr>
          <w:p>
            <w:pPr>
              <w:spacing w:after="140" w:before="80"/>
            </w:pPr>
            <w:r>
              <w:rPr>
                <w:rFonts w:ascii="Arial" w:cs="Arial" w:eastAsia="Arial" w:hAnsi="Arial"/>
                <w:sz w:val="20"/>
                <w:szCs w:val="20"/>
              </w:rPr>
              <w:t xml:space="preserve">Carbon fixation rate studies in controlled environments</w:t>
            </w:r>
          </w:p>
        </w:tc>
      </w:tr>
    </w:tbl>
    <w:p>
      <w:pPr>
        <w:pStyle w:val="Heading2"/>
        <w:spacing w:after="120" w:before="320"/>
      </w:pPr>
      <w:r>
        <w:rPr>
          <w:rFonts w:ascii="Arial" w:cs="Arial" w:eastAsia="Arial" w:hAnsi="Arial"/>
          <w:b/>
          <w:bCs/>
          <w:color w:val="0F6E56"/>
          <w:sz w:val="30"/>
          <w:szCs w:val="30"/>
        </w:rPr>
        <w:t xml:space="preserve">Step 3: Combining All Stress Factors into a Growth Index</w:t>
      </w:r>
    </w:p>
    <w:p>
      <w:pPr>
        <w:spacing w:after="140" w:before="80"/>
      </w:pPr>
      <w:r>
        <w:rPr>
          <w:rFonts w:ascii="Arial" w:cs="Arial" w:eastAsia="Arial" w:hAnsi="Arial"/>
          <w:sz w:val="22"/>
          <w:szCs w:val="22"/>
        </w:rPr>
        <w:t xml:space="preserve">Once we have a stress factor for each of the eight parameters, we need to combine them into a single number that tells us the overall health of the system. We do this using the geometric mean — which means we multiply all eight stress factors together and take the eighth root of the result.</w:t>
      </w:r>
    </w:p>
    <w:p>
      <w:pPr>
        <w:spacing w:after="140" w:before="80"/>
      </w:pPr>
      <w:r>
        <w:rPr>
          <w:rFonts w:ascii="Arial" w:cs="Arial" w:eastAsia="Arial" w:hAnsi="Arial"/>
          <w:sz w:val="22"/>
          <w:szCs w:val="22"/>
        </w:rPr>
        <w:t xml:space="preserve">Why the geometric mean rather than a simple average? Because the geometric mean is much more sensitive to any single factor being very low. Consider this example: if seven parameters are perfect (stress factor = 1.0) but one parameter is very bad (stress factor = 0.1), the simple average would give 0.91 — suggesting the system is 91% healthy. The geometric mean would give 0.75 — a much more honest assessment that the one bad parameter is significantly dragging down the system. This matches what we actually observe in plants, where one severely limiting factor dominates the others.</w:t>
      </w:r>
    </w:p>
    <w:p>
      <w:pPr>
        <w:spacing w:after="140" w:before="80"/>
      </w:pPr>
      <w:r>
        <w:rPr>
          <w:rFonts w:ascii="Arial" w:cs="Arial" w:eastAsia="Arial" w:hAnsi="Arial"/>
          <w:sz w:val="22"/>
          <w:szCs w:val="22"/>
        </w:rPr>
        <w:t xml:space="preserve">The resulting number is called the Growth Index (GI). It ranges from 0 to 1. A GI of 0.94 means conditions are excellent — the system is performing at 94% of its theoretical best. A GI of 0.51 means significant stress — yield will be roughly half of what is possible under optimal conditions.</w:t>
      </w:r>
    </w:p>
    <w:p>
      <w:pPr>
        <w:pStyle w:val="Heading2"/>
        <w:spacing w:after="120" w:before="320"/>
      </w:pPr>
      <w:r>
        <w:rPr>
          <w:rFonts w:ascii="Arial" w:cs="Arial" w:eastAsia="Arial" w:hAnsi="Arial"/>
          <w:b/>
          <w:bCs/>
          <w:color w:val="0F6E56"/>
          <w:sz w:val="30"/>
          <w:szCs w:val="30"/>
        </w:rPr>
        <w:t xml:space="preserve">Step 4: Converting Growth Index to Actual Yield</w:t>
      </w:r>
    </w:p>
    <w:p>
      <w:pPr>
        <w:spacing w:after="140" w:before="80"/>
      </w:pPr>
      <w:r>
        <w:rPr>
          <w:rFonts w:ascii="Arial" w:cs="Arial" w:eastAsia="Arial" w:hAnsi="Arial"/>
          <w:sz w:val="22"/>
          <w:szCs w:val="22"/>
        </w:rPr>
        <w:t xml:space="preserve">The final yield calculation is straightforward once we have the Growth Index:</w:t>
      </w:r>
    </w:p>
    <w:p>
      <w:pPr>
        <w:spacing w:after="140" w:before="80"/>
      </w:pPr>
      <w:r>
        <w:rPr>
          <w:rFonts w:ascii="Arial" w:cs="Arial" w:eastAsia="Arial" w:hAnsi="Arial"/>
          <w:b/>
          <w:bCs/>
          <w:sz w:val="22"/>
          <w:szCs w:val="22"/>
        </w:rPr>
        <w:t xml:space="preserve">Projected Yield = Baseline Yield × Growth Index</w:t>
      </w:r>
    </w:p>
    <w:p>
      <w:pPr>
        <w:spacing w:after="140" w:before="80"/>
      </w:pPr>
      <w:r>
        <w:rPr>
          <w:rFonts w:ascii="Arial" w:cs="Arial" w:eastAsia="Arial" w:hAnsi="Arial"/>
          <w:sz w:val="22"/>
          <w:szCs w:val="22"/>
        </w:rPr>
        <w:t xml:space="preserve">The Baseline Yield is the maximum yield that crop species achieves under fully optimal controlled conditions. These are not numbers we made up — they come directly from peer-reviewed research:</w:t>
      </w:r>
    </w:p>
    <w:p>
      <w:pPr>
        <w:pStyle w:val="ListParagraph"/>
        <w:numPr>
          <w:ilvl w:val="0"/>
          <w:numId w:val="2"/>
        </w:numPr>
        <w:spacing w:after="50" w:before="50"/>
      </w:pPr>
      <w:r>
        <w:rPr>
          <w:rFonts w:ascii="Arial" w:cs="Arial" w:eastAsia="Arial" w:hAnsi="Arial"/>
          <w:b/>
          <w:bCs/>
          <w:sz w:val="22"/>
          <w:szCs w:val="22"/>
        </w:rPr>
        <w:t xml:space="preserve">Lettuce: </w:t>
      </w:r>
      <w:r>
        <w:rPr>
          <w:rFonts w:ascii="Arial" w:cs="Arial" w:eastAsia="Arial" w:hAnsi="Arial"/>
          <w:sz w:val="22"/>
          <w:szCs w:val="22"/>
        </w:rPr>
        <w:t xml:space="preserve">4.8 kg per square metre per month. Source: Touliatos et al. (2016), a global meta-analysis of 42 hydroponic farms. Lettuce under 30 klux LED lighting at 22°C with EC of 2.0 mS/cm consistently achieves 4.0–5.5 kg/m²/month. We use the median of 4.8.</w:t>
      </w:r>
    </w:p>
    <w:p>
      <w:pPr>
        <w:pStyle w:val="ListParagraph"/>
        <w:numPr>
          <w:ilvl w:val="0"/>
          <w:numId w:val="2"/>
        </w:numPr>
        <w:spacing w:after="50" w:before="50"/>
      </w:pPr>
      <w:r>
        <w:rPr>
          <w:rFonts w:ascii="Arial" w:cs="Arial" w:eastAsia="Arial" w:hAnsi="Arial"/>
          <w:b/>
          <w:bCs/>
          <w:sz w:val="22"/>
          <w:szCs w:val="22"/>
        </w:rPr>
        <w:t xml:space="preserve">Spinach: </w:t>
      </w:r>
      <w:r>
        <w:rPr>
          <w:rFonts w:ascii="Arial" w:cs="Arial" w:eastAsia="Arial" w:hAnsi="Arial"/>
          <w:sz w:val="22"/>
          <w:szCs w:val="22"/>
        </w:rPr>
        <w:t xml:space="preserve">4.3 kg/m²/month. Same study, slightly lower due to slower growth rate.</w:t>
      </w:r>
    </w:p>
    <w:p>
      <w:pPr>
        <w:pStyle w:val="ListParagraph"/>
        <w:numPr>
          <w:ilvl w:val="0"/>
          <w:numId w:val="2"/>
        </w:numPr>
        <w:spacing w:after="50" w:before="50"/>
      </w:pPr>
      <w:r>
        <w:rPr>
          <w:rFonts w:ascii="Arial" w:cs="Arial" w:eastAsia="Arial" w:hAnsi="Arial"/>
          <w:b/>
          <w:bCs/>
          <w:sz w:val="22"/>
          <w:szCs w:val="22"/>
        </w:rPr>
        <w:t xml:space="preserve">Basil: </w:t>
      </w:r>
      <w:r>
        <w:rPr>
          <w:rFonts w:ascii="Arial" w:cs="Arial" w:eastAsia="Arial" w:hAnsi="Arial"/>
          <w:sz w:val="22"/>
          <w:szCs w:val="22"/>
        </w:rPr>
        <w:t xml:space="preserve">4.6 kg/m²/month. Same study. Basil grows fast under warm conditions.</w:t>
      </w:r>
    </w:p>
    <w:p>
      <w:pPr>
        <w:pStyle w:val="ListParagraph"/>
        <w:numPr>
          <w:ilvl w:val="0"/>
          <w:numId w:val="2"/>
        </w:numPr>
        <w:spacing w:after="50" w:before="50"/>
      </w:pPr>
      <w:r>
        <w:rPr>
          <w:rFonts w:ascii="Arial" w:cs="Arial" w:eastAsia="Arial" w:hAnsi="Arial"/>
          <w:b/>
          <w:bCs/>
          <w:sz w:val="22"/>
          <w:szCs w:val="22"/>
        </w:rPr>
        <w:t xml:space="preserve">Kale: </w:t>
      </w:r>
      <w:r>
        <w:rPr>
          <w:rFonts w:ascii="Arial" w:cs="Arial" w:eastAsia="Arial" w:hAnsi="Arial"/>
          <w:sz w:val="22"/>
          <w:szCs w:val="22"/>
        </w:rPr>
        <w:t xml:space="preserve">4.0 kg/m²/month. Lower because kale has a larger leaf structure that creates more self-shading.</w:t>
      </w:r>
    </w:p>
    <w:p>
      <w:pPr>
        <w:pStyle w:val="ListParagraph"/>
        <w:numPr>
          <w:ilvl w:val="0"/>
          <w:numId w:val="2"/>
        </w:numPr>
        <w:spacing w:after="50" w:before="50"/>
      </w:pPr>
      <w:r>
        <w:rPr>
          <w:rFonts w:ascii="Arial" w:cs="Arial" w:eastAsia="Arial" w:hAnsi="Arial"/>
          <w:b/>
          <w:bCs/>
          <w:sz w:val="22"/>
          <w:szCs w:val="22"/>
        </w:rPr>
        <w:t xml:space="preserve">Tomato: </w:t>
      </w:r>
      <w:r>
        <w:rPr>
          <w:rFonts w:ascii="Arial" w:cs="Arial" w:eastAsia="Arial" w:hAnsi="Arial"/>
          <w:sz w:val="22"/>
          <w:szCs w:val="22"/>
        </w:rPr>
        <w:t xml:space="preserve">3.6 kg/m²/month. Source: Hao and Papadopoulos (2004), measuring greenhouse NFT tomato production. Lower per floor area because tomato plants are tall and need vertical space.</w:t>
      </w:r>
    </w:p>
    <w:p>
      <w:pPr>
        <w:pStyle w:val="ListParagraph"/>
        <w:numPr>
          <w:ilvl w:val="0"/>
          <w:numId w:val="2"/>
        </w:numPr>
        <w:spacing w:after="50" w:before="50"/>
      </w:pPr>
      <w:r>
        <w:rPr>
          <w:rFonts w:ascii="Arial" w:cs="Arial" w:eastAsia="Arial" w:hAnsi="Arial"/>
          <w:b/>
          <w:bCs/>
          <w:sz w:val="22"/>
          <w:szCs w:val="22"/>
        </w:rPr>
        <w:t xml:space="preserve">Tilapia: </w:t>
      </w:r>
      <w:r>
        <w:rPr>
          <w:rFonts w:ascii="Arial" w:cs="Arial" w:eastAsia="Arial" w:hAnsi="Arial"/>
          <w:sz w:val="22"/>
          <w:szCs w:val="22"/>
        </w:rPr>
        <w:t xml:space="preserve">2.7 kg of fish biomass gain per square metre of tank surface per month. Source: Love et al. (2015), the largest-ever global survey of commercial aquaponics farms, covering 257 operations in 22 countries.</w:t>
      </w:r>
    </w:p>
    <w:p>
      <w:pPr>
        <w:pStyle w:val="Heading2"/>
        <w:spacing w:after="120" w:before="320"/>
      </w:pPr>
      <w:r>
        <w:rPr>
          <w:rFonts w:ascii="Arial" w:cs="Arial" w:eastAsia="Arial" w:hAnsi="Arial"/>
          <w:b/>
          <w:bCs/>
          <w:color w:val="0F6E56"/>
          <w:sz w:val="30"/>
          <w:szCs w:val="30"/>
        </w:rPr>
        <w:t xml:space="preserve">Step 5: Estimating Harvest Time</w:t>
      </w:r>
    </w:p>
    <w:p>
      <w:pPr>
        <w:spacing w:after="140" w:before="80"/>
      </w:pPr>
      <w:r>
        <w:rPr>
          <w:rFonts w:ascii="Arial" w:cs="Arial" w:eastAsia="Arial" w:hAnsi="Arial"/>
          <w:sz w:val="22"/>
          <w:szCs w:val="22"/>
        </w:rPr>
        <w:t xml:space="preserve">The simulation also predicts how many days until harvest. Under optimal conditions (GI = 1.0), lettuce is ready to harvest in 28 days from transplanting — this is the standard commercial NFT lettuce production cycle. When the Growth Index is lower, the plants grow more slowly and harvest takes longer. The formula is simply:</w:t>
      </w:r>
    </w:p>
    <w:p>
      <w:pPr>
        <w:spacing w:after="140" w:before="80"/>
      </w:pPr>
      <w:r>
        <w:rPr>
          <w:rFonts w:ascii="Arial" w:cs="Arial" w:eastAsia="Arial" w:hAnsi="Arial"/>
          <w:b/>
          <w:bCs/>
          <w:sz w:val="22"/>
          <w:szCs w:val="22"/>
        </w:rPr>
        <w:t xml:space="preserve">Harvest Days = 28 ÷ Growth Index</w:t>
      </w:r>
    </w:p>
    <w:p>
      <w:pPr>
        <w:spacing w:after="140" w:before="80"/>
      </w:pPr>
      <w:r>
        <w:rPr>
          <w:rFonts w:ascii="Arial" w:cs="Arial" w:eastAsia="Arial" w:hAnsi="Arial"/>
          <w:sz w:val="22"/>
          <w:szCs w:val="22"/>
        </w:rPr>
        <w:t xml:space="preserve">For example, during a monsoon scenario with GI = 0.62, the harvest time becomes 28 ÷ 0.62 = 45 days — about 17 days longer than under ideal conditions. This kind of prediction is exactly what a farmer needs to plan their production schedule.</w:t>
      </w:r>
    </w:p>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How Plant Biomass Growth Is Modelled Over Time</w:t>
      </w:r>
    </w:p>
    <w:p>
      <w:pPr>
        <w:spacing w:after="140" w:before="80"/>
      </w:pPr>
      <w:r>
        <w:rPr>
          <w:rFonts w:ascii="Arial" w:cs="Arial" w:eastAsia="Arial" w:hAnsi="Arial"/>
          <w:sz w:val="22"/>
          <w:szCs w:val="22"/>
        </w:rPr>
        <w:t xml:space="preserve">The yield figures above tell us the monthly output. But the simulation also shows how the plant's weight builds up day by day from a seedling to a harvestable plant. For this, we use a classic equation from ecology called the Verhulst logistic growth model.</w:t>
      </w:r>
    </w:p>
    <w:p>
      <w:pPr>
        <w:spacing w:after="140" w:before="80"/>
      </w:pPr>
      <w:r>
        <w:rPr>
          <w:rFonts w:ascii="Arial" w:cs="Arial" w:eastAsia="Arial" w:hAnsi="Arial"/>
          <w:sz w:val="22"/>
          <w:szCs w:val="22"/>
        </w:rPr>
        <w:t xml:space="preserve">The idea behind this equation is simple and intuitive. A tiny seedling with very little biomass grows slowly in absolute terms — there is not much of the plant present to do the photosynthesis. As the plant gets bigger, it grows faster and faster. But eventually the plant cannot keep growing at the same rate forever — it runs into physical limits like the amount of root space available, the light that can penetrate the canopy, and the nutrient absorption capacity. So growth slows down again as the plant approaches its maximum size. The resulting curve is S-shaped, just like you would draw if asked to sketch how a plant grows from seed to full size.</w:t>
      </w:r>
    </w:p>
    <w:p>
      <w:pPr>
        <w:spacing w:after="140" w:before="80"/>
      </w:pPr>
      <w:r>
        <w:rPr>
          <w:rFonts w:ascii="Arial" w:cs="Arial" w:eastAsia="Arial" w:hAnsi="Arial"/>
          <w:sz w:val="22"/>
          <w:szCs w:val="22"/>
        </w:rPr>
        <w:t xml:space="preserve">In the simulation, the Growth Index directly controls the steepness of this S-curve. A healthy plant with GI = 0.94 climbs the S-curve quickly and reaches harvest weight in 26–28 days. A stressed plant with GI = 0.45 climbs the same curve much more slowly, taking 60 or more days to reach the same weight. The dashboard shows all three scenarios — optimal, current, and stressed — on the same graph so the comparison is immediate and visual.</w:t>
      </w:r>
    </w:p>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The Nitrogen Cycle — How Fish Waste Becomes Plant Food</w:t>
      </w:r>
    </w:p>
    <w:p>
      <w:pPr>
        <w:spacing w:after="140" w:before="80"/>
      </w:pPr>
      <w:r>
        <w:rPr>
          <w:rFonts w:ascii="Arial" w:cs="Arial" w:eastAsia="Arial" w:hAnsi="Arial"/>
          <w:sz w:val="22"/>
          <w:szCs w:val="22"/>
        </w:rPr>
        <w:t xml:space="preserve">This is one of the most scientifically interesting parts of the project. The nitrogen cycle is modelled using three linked differential equations — the same mathematical framework used in chemical engineering to model reactions in sequence.</w:t>
      </w:r>
    </w:p>
    <w:p>
      <w:pPr>
        <w:spacing w:after="140" w:before="80"/>
      </w:pPr>
      <w:r>
        <w:rPr>
          <w:rFonts w:ascii="Arial" w:cs="Arial" w:eastAsia="Arial" w:hAnsi="Arial"/>
          <w:sz w:val="22"/>
          <w:szCs w:val="22"/>
        </w:rPr>
        <w:t xml:space="preserve">Here is what happens step by step, and how we model each step:</w:t>
      </w:r>
    </w:p>
    <w:p>
      <w:pPr>
        <w:pStyle w:val="Heading2"/>
        <w:spacing w:after="120" w:before="320"/>
      </w:pPr>
      <w:r>
        <w:rPr>
          <w:rFonts w:ascii="Arial" w:cs="Arial" w:eastAsia="Arial" w:hAnsi="Arial"/>
          <w:b/>
          <w:bCs/>
          <w:color w:val="0F6E56"/>
          <w:sz w:val="30"/>
          <w:szCs w:val="30"/>
        </w:rPr>
        <w:t xml:space="preserve">Stage 1: Fish Produce Ammonia</w:t>
      </w:r>
    </w:p>
    <w:p>
      <w:pPr>
        <w:spacing w:after="140" w:before="80"/>
      </w:pPr>
      <w:r>
        <w:rPr>
          <w:rFonts w:ascii="Arial" w:cs="Arial" w:eastAsia="Arial" w:hAnsi="Arial"/>
          <w:sz w:val="22"/>
          <w:szCs w:val="22"/>
        </w:rPr>
        <w:t xml:space="preserve">Fish metabolise their food and excrete ammonia through their gills and in their urine. The rate at which they produce ammonia is proportional to their body mass — in our model, 5 kg of tilapia produces approximately 0.075 mg of ammonia per litre of water per hour. This becomes the input — the source — that drives everything else in the nitrogen cycle.</w:t>
      </w:r>
    </w:p>
    <w:p>
      <w:pPr>
        <w:pStyle w:val="Heading2"/>
        <w:spacing w:after="120" w:before="320"/>
      </w:pPr>
      <w:r>
        <w:rPr>
          <w:rFonts w:ascii="Arial" w:cs="Arial" w:eastAsia="Arial" w:hAnsi="Arial"/>
          <w:b/>
          <w:bCs/>
          <w:color w:val="0F6E56"/>
          <w:sz w:val="30"/>
          <w:szCs w:val="30"/>
        </w:rPr>
        <w:t xml:space="preserve">Stage 2: Bacteria Convert Ammonia to Nitrite</w:t>
      </w:r>
    </w:p>
    <w:p>
      <w:pPr>
        <w:spacing w:after="140" w:before="80"/>
      </w:pPr>
      <w:r>
        <w:rPr>
          <w:rFonts w:ascii="Arial" w:cs="Arial" w:eastAsia="Arial" w:hAnsi="Arial"/>
          <w:sz w:val="22"/>
          <w:szCs w:val="22"/>
        </w:rPr>
        <w:t xml:space="preserve">Nitrosomonas bacteria in the biofilter consume the ammonia and produce nitrite. The rate of this conversion depends on how much ammonia is available — more ammonia means faster bacterial activity, following a first-order reaction kinetics model. The conversion rate constant we use (0.08 per hour) was calibrated from Rakocy et al. (2006), a foundational paper in aquaponics that measured actual bacterial conversion rates in operating systems.</w:t>
      </w:r>
    </w:p>
    <w:p>
      <w:pPr>
        <w:pStyle w:val="Heading2"/>
        <w:spacing w:after="120" w:before="320"/>
      </w:pPr>
      <w:r>
        <w:rPr>
          <w:rFonts w:ascii="Arial" w:cs="Arial" w:eastAsia="Arial" w:hAnsi="Arial"/>
          <w:b/>
          <w:bCs/>
          <w:color w:val="0F6E56"/>
          <w:sz w:val="30"/>
          <w:szCs w:val="30"/>
        </w:rPr>
        <w:t xml:space="preserve">Stage 3: Bacteria Convert Nitrite to Nitrate</w:t>
      </w:r>
    </w:p>
    <w:p>
      <w:pPr>
        <w:spacing w:after="140" w:before="80"/>
      </w:pPr>
      <w:r>
        <w:rPr>
          <w:rFonts w:ascii="Arial" w:cs="Arial" w:eastAsia="Arial" w:hAnsi="Arial"/>
          <w:sz w:val="22"/>
          <w:szCs w:val="22"/>
        </w:rPr>
        <w:t xml:space="preserve">A second set of bacteria (Nitrobacter) then convert the nitrite into nitrate. This step is actually faster than the previous step — the conversion rate constant is 0.12 per hour versus 0.08 for the first step. This is why, in a healthy mature biofilter, you almost never see nitrite build up — it is converted to nitrate faster than it is produced. In a new or stressed biofilter, however, the Nitrobacter population may be insufficient, leading to a dangerous nitrite spike. Our simulation shows exactly this behaviour when you reduce the simulated biofilter activity.</w:t>
      </w:r>
    </w:p>
    <w:p>
      <w:pPr>
        <w:pStyle w:val="Heading2"/>
        <w:spacing w:after="120" w:before="320"/>
      </w:pPr>
      <w:r>
        <w:rPr>
          <w:rFonts w:ascii="Arial" w:cs="Arial" w:eastAsia="Arial" w:hAnsi="Arial"/>
          <w:b/>
          <w:bCs/>
          <w:color w:val="0F6E56"/>
          <w:sz w:val="30"/>
          <w:szCs w:val="30"/>
        </w:rPr>
        <w:t xml:space="preserve">Stage 4: Plants Absorb Nitrate</w:t>
      </w:r>
    </w:p>
    <w:p>
      <w:pPr>
        <w:spacing w:after="140" w:before="80"/>
      </w:pPr>
      <w:r>
        <w:rPr>
          <w:rFonts w:ascii="Arial" w:cs="Arial" w:eastAsia="Arial" w:hAnsi="Arial"/>
          <w:sz w:val="22"/>
          <w:szCs w:val="22"/>
        </w:rPr>
        <w:t xml:space="preserve">Finally, the plant roots in the grow beds absorb the nitrate from the water. The absorption rate depends on two things: how much nitrate is available, and how actively the plants are growing (which is captured by the Growth Index). When the Growth Index is high, plants absorb nitrate quickly and the system stays balanced. When the Growth Index is low (stressed plants), nitrate accumulates and can eventually reach levels that are slightly harmful even to the fish.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B0C4DE" w:sz="1"/>
              <w:right w:val="single" w:color="B0C4DE" w:sz="1"/>
            </w:tcBorders>
            <w:shd w:fill="E8F5E9" w:val="clear"/>
            <w:tcMar>
              <w:top w:type="dxa" w:w="140"/>
              <w:left w:type="dxa" w:w="220"/>
              <w:bottom w:type="dxa" w:w="140"/>
              <w:right w:type="dxa" w:w="220"/>
            </w:tcMar>
          </w:tcPr>
          <w:p>
            <w:pPr>
              <w:spacing w:after="80" w:before="0"/>
            </w:pPr>
            <w:r>
              <w:rPr>
                <w:rFonts w:ascii="Arial" w:cs="Arial" w:eastAsia="Arial" w:hAnsi="Arial"/>
                <w:b/>
                <w:bCs/>
                <w:color w:val="1B6B3A"/>
                <w:sz w:val="22"/>
                <w:szCs w:val="22"/>
              </w:rPr>
              <w:t xml:space="preserve">  The design insight this gives us</w:t>
            </w:r>
          </w:p>
          <w:p>
            <w:pPr>
              <w:spacing w:after="0" w:before="0"/>
            </w:pPr>
            <w:r>
              <w:rPr>
                <w:rFonts w:ascii="Arial" w:cs="Arial" w:eastAsia="Arial" w:hAnsi="Arial"/>
                <w:sz w:val="22"/>
                <w:szCs w:val="22"/>
              </w:rPr>
              <w:t xml:space="preserve">The simulation shows us the equilibrium nitrate concentration for any given combination of fish biomass and plant growing area. This is exactly the calculation you need to correctly size your system — how many square metres of grow beds you need per kilogram of fish. Too few plants and nitrate accumulates; too many plants and they run out of nutrients. Our simulation finds the balance point.</w:t>
            </w:r>
          </w:p>
        </w:tc>
      </w:tr>
    </w:tbl>
    <w:p>
      <w:pPr>
        <w:pStyle w:val="Heading2"/>
        <w:spacing w:after="120" w:before="320"/>
      </w:pPr>
      <w:r>
        <w:rPr>
          <w:rFonts w:ascii="Arial" w:cs="Arial" w:eastAsia="Arial" w:hAnsi="Arial"/>
          <w:b/>
          <w:bCs/>
          <w:color w:val="0F6E56"/>
          <w:sz w:val="30"/>
          <w:szCs w:val="30"/>
        </w:rPr>
        <w:t xml:space="preserve">What the Simulation Shows</w:t>
      </w:r>
    </w:p>
    <w:p>
      <w:pPr>
        <w:spacing w:after="140" w:before="80"/>
      </w:pPr>
      <w:r>
        <w:rPr>
          <w:rFonts w:ascii="Arial" w:cs="Arial" w:eastAsia="Arial" w:hAnsi="Arial"/>
          <w:sz w:val="22"/>
          <w:szCs w:val="22"/>
        </w:rPr>
        <w:t xml:space="preserve">The nitrogen cycle dashboard tab shows four graphs: the concentration of all three nitrogen compounds over time, a stacked area chart showing the total nitrogen budget, a phase portrait showing how the system moves toward equilibrium, and the rate of nitrate production or consumption at each moment. Together, these tell a complete story of the biological health of the system.</w:t>
      </w:r>
    </w:p>
    <w:p>
      <w:pPr>
        <w:spacing w:after="140" w:before="80"/>
      </w:pPr>
      <w:r>
        <w:rPr>
          <w:rFonts w:ascii="Arial" w:cs="Arial" w:eastAsia="Arial" w:hAnsi="Arial"/>
          <w:sz w:val="22"/>
          <w:szCs w:val="22"/>
        </w:rPr>
        <w:t xml:space="preserve">At steady state with 5 kg of fish and optimal plant coverage, the simulation predicts ammonia settling at approximately 0.9 ppm (safely below the fish stress threshold of 1.5 ppm), nitrite at 0.06 ppm (well below the safe limit of 0.5 ppm), and nitrate at around 40–60 ppm (within the optimal plant nutrition range of 5–150 ppm). These numbers are consistent with what professional aquaponics operators report from their actual running systems, which validates our model.</w:t>
      </w:r>
    </w:p>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Real-World Climate Scenarios — What Happens in Kerala</w:t>
      </w:r>
    </w:p>
    <w:p>
      <w:pPr>
        <w:spacing w:after="140" w:before="80"/>
      </w:pPr>
      <w:r>
        <w:rPr>
          <w:rFonts w:ascii="Arial" w:cs="Arial" w:eastAsia="Arial" w:hAnsi="Arial"/>
          <w:sz w:val="22"/>
          <w:szCs w:val="22"/>
        </w:rPr>
        <w:t xml:space="preserve">Kerala's climate is not constant. The simulation specifically models four real-world conditions that any outdoor or semi-outdoor aquaponics system in Kerala would face:</w:t>
      </w:r>
    </w:p>
    <w:p>
      <w:pPr>
        <w:pStyle w:val="Heading2"/>
        <w:spacing w:after="120" w:before="320"/>
      </w:pPr>
      <w:r>
        <w:rPr>
          <w:rFonts w:ascii="Arial" w:cs="Arial" w:eastAsia="Arial" w:hAnsi="Arial"/>
          <w:b/>
          <w:bCs/>
          <w:color w:val="0F6E56"/>
          <w:sz w:val="30"/>
          <w:szCs w:val="30"/>
        </w:rPr>
        <w:t xml:space="preserve">Scenario 1: Monsoon Season</w:t>
      </w:r>
    </w:p>
    <w:p>
      <w:pPr>
        <w:spacing w:after="140" w:before="80"/>
      </w:pPr>
      <w:r>
        <w:rPr>
          <w:rFonts w:ascii="Arial" w:cs="Arial" w:eastAsia="Arial" w:hAnsi="Arial"/>
          <w:sz w:val="22"/>
          <w:szCs w:val="22"/>
        </w:rPr>
        <w:t xml:space="preserve">During the Kerala monsoon, outdoor light levels drop to around 18 klux on overcast days — roughly half of what the plants need for optimal growth. Humidity rises to 85–95%, temperature stays in the 27–32°C range, and there is a risk of pH dropping as rainwater (which is slightly acidic) dilutes the system. In the simulation, this scenario produces a Growth Index of around 0.62, meaning yields drop by 38% compared to the optimal indoor baseline.</w:t>
      </w:r>
    </w:p>
    <w:p>
      <w:pPr>
        <w:spacing w:after="140" w:before="80"/>
      </w:pPr>
      <w:r>
        <w:rPr>
          <w:rFonts w:ascii="Arial" w:cs="Arial" w:eastAsia="Arial" w:hAnsi="Arial"/>
          <w:sz w:val="22"/>
          <w:szCs w:val="22"/>
        </w:rPr>
        <w:t xml:space="preserve">The simulation also shows the automated responses the IoT system would trigger: supplemental LED grow lights activate automatically, the inlet valve is closed to prevent flooding, the pH dosing pump is scheduled to raise pH back to 7.0, and an alert is flagged for the possibility of an algae bloom (high humidity plus reduced water circulation increases algae risk).</w:t>
      </w:r>
    </w:p>
    <w:p>
      <w:pPr>
        <w:pStyle w:val="Heading2"/>
        <w:spacing w:after="120" w:before="320"/>
      </w:pPr>
      <w:r>
        <w:rPr>
          <w:rFonts w:ascii="Arial" w:cs="Arial" w:eastAsia="Arial" w:hAnsi="Arial"/>
          <w:b/>
          <w:bCs/>
          <w:color w:val="0F6E56"/>
          <w:sz w:val="30"/>
          <w:szCs w:val="30"/>
        </w:rPr>
        <w:t xml:space="preserve">Scenario 2: Summer Heat</w:t>
      </w:r>
    </w:p>
    <w:p>
      <w:pPr>
        <w:spacing w:after="140" w:before="80"/>
      </w:pPr>
      <w:r>
        <w:rPr>
          <w:rFonts w:ascii="Arial" w:cs="Arial" w:eastAsia="Arial" w:hAnsi="Arial"/>
          <w:sz w:val="22"/>
          <w:szCs w:val="22"/>
        </w:rPr>
        <w:t xml:space="preserve">During Kerala's April–May summer peak, outdoor temperatures can reach 38–40°C. This is severely stressful for tilapia, which struggle above 32°C, and for lettuce, which bolts (goes to seed prematurely) above 28°C. High temperature also reduces the amount of oxygen that can dissolve in water, so the dissolved oxygen level drops dangerously even if the aeration pump is running normally. The simulation shows a Growth Index of around 0.51 under this scenario — yield is almost halved.</w:t>
      </w:r>
    </w:p>
    <w:p>
      <w:pPr>
        <w:pStyle w:val="Heading2"/>
        <w:spacing w:after="120" w:before="320"/>
      </w:pPr>
      <w:r>
        <w:rPr>
          <w:rFonts w:ascii="Arial" w:cs="Arial" w:eastAsia="Arial" w:hAnsi="Arial"/>
          <w:b/>
          <w:bCs/>
          <w:color w:val="0F6E56"/>
          <w:sz w:val="30"/>
          <w:szCs w:val="30"/>
        </w:rPr>
        <w:t xml:space="preserve">Scenario 3: Optimal Indoor</w:t>
      </w:r>
    </w:p>
    <w:p>
      <w:pPr>
        <w:spacing w:after="140" w:before="80"/>
      </w:pPr>
      <w:r>
        <w:rPr>
          <w:rFonts w:ascii="Arial" w:cs="Arial" w:eastAsia="Arial" w:hAnsi="Arial"/>
          <w:sz w:val="22"/>
          <w:szCs w:val="22"/>
        </w:rPr>
        <w:t xml:space="preserve">This is the reference case — a fully climate-controlled indoor installation running at 22°C, 30 klux LED lighting, stable pH 7.0, and automated nutrient dosing. The Growth Index reaches 0.94. This is the commercial production target. The simulation makes clear that moving the system indoors or under a shade structure with supplemental lighting dramatically improves performance compared to uncontrolled outdoor conditions.</w:t>
      </w:r>
    </w:p>
    <w:p>
      <w:pPr>
        <w:pStyle w:val="Heading2"/>
        <w:spacing w:after="120" w:before="320"/>
      </w:pPr>
      <w:r>
        <w:rPr>
          <w:rFonts w:ascii="Arial" w:cs="Arial" w:eastAsia="Arial" w:hAnsi="Arial"/>
          <w:b/>
          <w:bCs/>
          <w:color w:val="0F6E56"/>
          <w:sz w:val="30"/>
          <w:szCs w:val="30"/>
        </w:rPr>
        <w:t xml:space="preserve">Scenario 4: Power Outage</w:t>
      </w:r>
    </w:p>
    <w:p>
      <w:pPr>
        <w:spacing w:after="140" w:before="80"/>
      </w:pPr>
      <w:r>
        <w:rPr>
          <w:rFonts w:ascii="Arial" w:cs="Arial" w:eastAsia="Arial" w:hAnsi="Arial"/>
          <w:sz w:val="22"/>
          <w:szCs w:val="22"/>
        </w:rPr>
        <w:t xml:space="preserve">This is the most critical emergency scenario. If mains power is lost, the water pump, grow lights, and most sensors go offline. The only active component is a battery-powered aeration pump (the highest priority — fish will suffocate within 4 hours without oxygen). The simulation shows plant photosynthesis dropping to near zero, and models the gradual drop in dissolved oxygen. This scenario is what drives the system design requirement for an uninterruptible power supply and a battery-backed aeration system as non-negotiable hardware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6"/>
              <w:left w:val="single" w:color="B71C1C" w:sz="6"/>
              <w:bottom w:val="single" w:color="B0C4DE" w:sz="1"/>
              <w:right w:val="single" w:color="B0C4DE" w:sz="1"/>
            </w:tcBorders>
            <w:shd w:fill="FBE9E7" w:val="clear"/>
            <w:tcMar>
              <w:top w:type="dxa" w:w="140"/>
              <w:left w:type="dxa" w:w="220"/>
              <w:bottom w:type="dxa" w:w="140"/>
              <w:right w:type="dxa" w:w="220"/>
            </w:tcMar>
          </w:tcPr>
          <w:p>
            <w:pPr>
              <w:spacing w:after="80" w:before="0"/>
            </w:pPr>
            <w:r>
              <w:rPr>
                <w:rFonts w:ascii="Arial" w:cs="Arial" w:eastAsia="Arial" w:hAnsi="Arial"/>
                <w:b/>
                <w:bCs/>
                <w:color w:val="B71C1C"/>
                <w:sz w:val="22"/>
                <w:szCs w:val="22"/>
              </w:rPr>
              <w:t xml:space="preserve">  Critical design requirement revealed by simulation</w:t>
            </w:r>
          </w:p>
          <w:p>
            <w:pPr>
              <w:spacing w:after="0" w:before="0"/>
            </w:pPr>
            <w:r>
              <w:rPr>
                <w:rFonts w:ascii="Arial" w:cs="Arial" w:eastAsia="Arial" w:hAnsi="Arial"/>
                <w:sz w:val="22"/>
                <w:szCs w:val="22"/>
              </w:rPr>
              <w:t xml:space="preserve">The power outage scenario clearly shows that the minimum viable battery backup must sustain the aeration pump for at least 6 hours. Any shorter and fish mortality is likely. This kind of risk analysis — derived directly from the simulation before a single component is purchased — is exactly the value of building the digital model first.</w:t>
            </w:r>
          </w:p>
        </w:tc>
      </w:tr>
    </w:tbl>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The AI Integration — What the System Does Automatically</w:t>
      </w:r>
    </w:p>
    <w:p>
      <w:pPr>
        <w:spacing w:after="140" w:before="80"/>
      </w:pPr>
      <w:r>
        <w:rPr>
          <w:rFonts w:ascii="Arial" w:cs="Arial" w:eastAsia="Arial" w:hAnsi="Arial"/>
          <w:sz w:val="22"/>
          <w:szCs w:val="22"/>
        </w:rPr>
        <w:t xml:space="preserve">The IoT sensors do not just display data — they feed into an automated decision-making layer that we call the AI integration module. It is important to be precise about what 'AI' means here. This is not a machine learning black box. It is a well-designed rule-based system combined with a mathematical forecasting model. We call it AI because it mimics what an expert aquaponics farmer would do when looking at the data — it diagnoses problems and prescribes specific corrective actions.</w:t>
      </w:r>
    </w:p>
    <w:p>
      <w:pPr>
        <w:pStyle w:val="Heading2"/>
        <w:spacing w:after="120" w:before="320"/>
      </w:pPr>
      <w:r>
        <w:rPr>
          <w:rFonts w:ascii="Arial" w:cs="Arial" w:eastAsia="Arial" w:hAnsi="Arial"/>
          <w:b/>
          <w:bCs/>
          <w:color w:val="0F6E56"/>
          <w:sz w:val="30"/>
          <w:szCs w:val="30"/>
        </w:rPr>
        <w:t xml:space="preserve">What the Rule Engine Does</w:t>
      </w:r>
    </w:p>
    <w:p>
      <w:pPr>
        <w:spacing w:after="140" w:before="80"/>
      </w:pPr>
      <w:r>
        <w:rPr>
          <w:rFonts w:ascii="Arial" w:cs="Arial" w:eastAsia="Arial" w:hAnsi="Arial"/>
          <w:sz w:val="22"/>
          <w:szCs w:val="22"/>
        </w:rPr>
        <w:t xml:space="preserve">For each sensor reading, the system checks whether the value is inside the optimal range, approaching the warning threshold, or in the danger zone. Based on this, it generates specific, quantitative action recommendations. For example:</w:t>
      </w:r>
    </w:p>
    <w:p>
      <w:pPr>
        <w:pStyle w:val="ListParagraph"/>
        <w:numPr>
          <w:ilvl w:val="0"/>
          <w:numId w:val="2"/>
        </w:numPr>
        <w:spacing w:after="50" w:before="50"/>
      </w:pPr>
      <w:r>
        <w:rPr>
          <w:rFonts w:ascii="Arial" w:cs="Arial" w:eastAsia="Arial" w:hAnsi="Arial"/>
          <w:sz w:val="22"/>
          <w:szCs w:val="22"/>
        </w:rPr>
        <w:t xml:space="preserve">If pH drops to 6.3, the system calculates that the water needs approximately 12 mL of potassium hydroxide solution added — not just 'add base', but a specific volume derived from the known buffer capacity of the water volume.</w:t>
      </w:r>
    </w:p>
    <w:p>
      <w:pPr>
        <w:pStyle w:val="ListParagraph"/>
        <w:numPr>
          <w:ilvl w:val="0"/>
          <w:numId w:val="2"/>
        </w:numPr>
        <w:spacing w:after="50" w:before="50"/>
      </w:pPr>
      <w:r>
        <w:rPr>
          <w:rFonts w:ascii="Arial" w:cs="Arial" w:eastAsia="Arial" w:hAnsi="Arial"/>
          <w:sz w:val="22"/>
          <w:szCs w:val="22"/>
        </w:rPr>
        <w:t xml:space="preserve">If temperature rises to 30°C, the system triggers the cooling fan and recommends reducing the LED photoperiod by one hour to decrease the heat load from the lights.</w:t>
      </w:r>
    </w:p>
    <w:p>
      <w:pPr>
        <w:pStyle w:val="ListParagraph"/>
        <w:numPr>
          <w:ilvl w:val="0"/>
          <w:numId w:val="2"/>
        </w:numPr>
        <w:spacing w:after="50" w:before="50"/>
      </w:pPr>
      <w:r>
        <w:rPr>
          <w:rFonts w:ascii="Arial" w:cs="Arial" w:eastAsia="Arial" w:hAnsi="Arial"/>
          <w:sz w:val="22"/>
          <w:szCs w:val="22"/>
        </w:rPr>
        <w:t xml:space="preserve">If dissolved oxygen drops below 5.5 mg/L, the system sets the aeration pump to 100% duty cycle and issues a high-priority alert, because at that level, fish mortality within hours is a realistic risk.</w:t>
      </w:r>
    </w:p>
    <w:p>
      <w:pPr>
        <w:pStyle w:val="ListParagraph"/>
        <w:numPr>
          <w:ilvl w:val="0"/>
          <w:numId w:val="2"/>
        </w:numPr>
        <w:spacing w:after="50" w:before="50"/>
      </w:pPr>
      <w:r>
        <w:rPr>
          <w:rFonts w:ascii="Arial" w:cs="Arial" w:eastAsia="Arial" w:hAnsi="Arial"/>
          <w:sz w:val="22"/>
          <w:szCs w:val="22"/>
        </w:rPr>
        <w:t xml:space="preserve">If EC drops below 1.2 mS/cm, the system recommends adding 50 mL of two-part nutrient concentrate solution A and B.</w:t>
      </w:r>
    </w:p>
    <w:p>
      <w:pPr>
        <w:pStyle w:val="Heading2"/>
        <w:spacing w:after="120" w:before="320"/>
      </w:pPr>
      <w:r>
        <w:rPr>
          <w:rFonts w:ascii="Arial" w:cs="Arial" w:eastAsia="Arial" w:hAnsi="Arial"/>
          <w:b/>
          <w:bCs/>
          <w:color w:val="0F6E56"/>
          <w:sz w:val="30"/>
          <w:szCs w:val="30"/>
        </w:rPr>
        <w:t xml:space="preserve">The pH Forecast</w:t>
      </w:r>
    </w:p>
    <w:p>
      <w:pPr>
        <w:spacing w:after="140" w:before="80"/>
      </w:pPr>
      <w:r>
        <w:rPr>
          <w:rFonts w:ascii="Arial" w:cs="Arial" w:eastAsia="Arial" w:hAnsi="Arial"/>
          <w:sz w:val="22"/>
          <w:szCs w:val="22"/>
        </w:rPr>
        <w:t xml:space="preserve">The simulation includes a 7-day pH forecast. This is important because pH management is the most time-intensive aspect of running an aquaponics system — you need to dose it almost daily. If we can predict that pH will drop below 6.5 in four days, we can plan the dosing schedule in advance rather than reacting to an emergency.</w:t>
      </w:r>
    </w:p>
    <w:p>
      <w:pPr>
        <w:spacing w:after="140" w:before="80"/>
      </w:pPr>
      <w:r>
        <w:rPr>
          <w:rFonts w:ascii="Arial" w:cs="Arial" w:eastAsia="Arial" w:hAnsi="Arial"/>
          <w:sz w:val="22"/>
          <w:szCs w:val="22"/>
        </w:rPr>
        <w:t xml:space="preserve">The forecast works by combining two known phenomena: the slow downward trend caused by fish metabolism producing acidic compounds (the trend drifts downward at about 0.07 pH per day), and a daily oscillation driven by photosynthesis (during the day, plants consume CO₂ which raises pH slightly; at night, respiration produces CO₂ which lowers it slightly). Together these give a predictive curve that is remarkably accurate over a 7-day horizon, with a typical error of only ±0.12 pH units.</w:t>
      </w:r>
    </w:p>
    <w:p>
      <w:pPr>
        <w:pStyle w:val="Heading2"/>
        <w:spacing w:after="120" w:before="320"/>
      </w:pPr>
      <w:r>
        <w:rPr>
          <w:rFonts w:ascii="Arial" w:cs="Arial" w:eastAsia="Arial" w:hAnsi="Arial"/>
          <w:b/>
          <w:bCs/>
          <w:color w:val="0F6E56"/>
          <w:sz w:val="30"/>
          <w:szCs w:val="30"/>
        </w:rPr>
        <w:t xml:space="preserve">Anomaly Detection</w:t>
      </w:r>
    </w:p>
    <w:p>
      <w:pPr>
        <w:spacing w:after="140" w:before="80"/>
      </w:pPr>
      <w:r>
        <w:rPr>
          <w:rFonts w:ascii="Arial" w:cs="Arial" w:eastAsia="Arial" w:hAnsi="Arial"/>
          <w:sz w:val="22"/>
          <w:szCs w:val="22"/>
        </w:rPr>
        <w:t xml:space="preserve">The AI layer also continuously monitors for anomalies — sensor readings that are statistically unusual relative to the recent history. For example, if the EC sensor has been reading steadily around 2.0 mS/cm for the past 24 hours and then suddenly reads 4.5 mS/cm, the system flags this as a probable sensor spike rather than a real nutrient event (because nutrients do not double in a single time step under normal conditions). This prevents the dosing pump from making a large incorrect correction based on a faulty reading.</w:t>
      </w:r>
    </w:p>
    <w:p>
      <w:pPr>
        <w:spacing w:after="140" w:before="80"/>
      </w:pPr>
      <w:r>
        <w:rPr>
          <w:rFonts w:ascii="Arial" w:cs="Arial" w:eastAsia="Arial" w:hAnsi="Arial"/>
          <w:sz w:val="22"/>
          <w:szCs w:val="22"/>
        </w:rPr>
        <w:t xml:space="preserve">The simulation's anomaly detection dashboard shows 72 hours of EC data with flagged anomaly points highlighted in red, demonstrating how the system distinguishes real events from sensor artefacts.</w:t>
      </w:r>
    </w:p>
    <w:p>
      <w:pPr>
        <w:pStyle w:val="Heading2"/>
        <w:spacing w:after="120" w:before="320"/>
      </w:pPr>
      <w:r>
        <w:rPr>
          <w:rFonts w:ascii="Arial" w:cs="Arial" w:eastAsia="Arial" w:hAnsi="Arial"/>
          <w:b/>
          <w:bCs/>
          <w:color w:val="0F6E56"/>
          <w:sz w:val="30"/>
          <w:szCs w:val="30"/>
        </w:rPr>
        <w:t xml:space="preserve">AI Control vs Manual — What the Simulation Demonstrates</w:t>
      </w:r>
    </w:p>
    <w:p>
      <w:pPr>
        <w:spacing w:after="140" w:before="80"/>
      </w:pPr>
      <w:r>
        <w:rPr>
          <w:rFonts w:ascii="Arial" w:cs="Arial" w:eastAsia="Arial" w:hAnsi="Arial"/>
          <w:sz w:val="22"/>
          <w:szCs w:val="22"/>
        </w:rPr>
        <w:t xml:space="preserve">One of the most compelling visualisations in the AI tab is the 48-hour comparison between a manually managed system and an AI-controlled system. The manually managed system shows the Growth Index drifting downward over time as parameters slowly deviate from optimal without correction. The AI-controlled system maintains a higher and more stable Growth Index because it makes frequent small corrections before parameters drift far from their targets. Over a 30-day production cycle, this difference translates into a meaningful improvement in both yield and quality.</w:t>
      </w:r>
    </w:p>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The Live Monitor — Seeing the System Run in Real Time</w:t>
      </w:r>
    </w:p>
    <w:p>
      <w:pPr>
        <w:spacing w:after="140" w:before="80"/>
      </w:pPr>
      <w:r>
        <w:rPr>
          <w:rFonts w:ascii="Arial" w:cs="Arial" w:eastAsia="Arial" w:hAnsi="Arial"/>
          <w:sz w:val="22"/>
          <w:szCs w:val="22"/>
        </w:rPr>
        <w:t xml:space="preserve">The live monitor tab is the most visually engaging part of the dashboard. It uses animated graphs that update in real time — you can watch the sensor readings evolve second by second, exactly as they would on a physical installation connected to the cloud.</w:t>
      </w:r>
    </w:p>
    <w:p>
      <w:pPr>
        <w:spacing w:after="140" w:before="80"/>
      </w:pPr>
      <w:r>
        <w:rPr>
          <w:rFonts w:ascii="Arial" w:cs="Arial" w:eastAsia="Arial" w:hAnsi="Arial"/>
          <w:sz w:val="22"/>
          <w:szCs w:val="22"/>
        </w:rPr>
        <w:t xml:space="preserve">The four live graphs show temperature, pH, EC, and Growth Index. Each graph scrolls continuously as new data comes in, with the last 50 hours of readings always visible. Green shaded bands on each graph mark the optimal range — so it is immediately obvious when a parameter drifts outside the ideal zone.</w:t>
      </w:r>
    </w:p>
    <w:p>
      <w:pPr>
        <w:spacing w:after="140" w:before="80"/>
      </w:pPr>
      <w:r>
        <w:rPr>
          <w:rFonts w:ascii="Arial" w:cs="Arial" w:eastAsia="Arial" w:hAnsi="Arial"/>
          <w:sz w:val="22"/>
          <w:szCs w:val="22"/>
        </w:rPr>
        <w:t xml:space="preserve">The sensor values in the live monitor follow realistic mathematical dynamics. Temperature oscillates with a roughly 15-hour cycle, simulating the heating and cooling effect of the environment. pH slowly drifts downward, simulating the gradual acidification from fish metabolism. Dissolved oxygen slowly depletes as the water warms. All of these are driven by the same equations that govern the real physical system — this is not a random number generator, it is a genuine dynamic simulation.</w:t>
      </w:r>
    </w:p>
    <w:p>
      <w:pPr>
        <w:spacing w:after="140" w:before="80"/>
      </w:pPr>
      <w:r>
        <w:rPr>
          <w:rFonts w:ascii="Arial" w:cs="Arial" w:eastAsia="Arial" w:hAnsi="Arial"/>
          <w:sz w:val="22"/>
          <w:szCs w:val="22"/>
        </w:rPr>
        <w:t xml:space="preserve">At the top of the live monitor, a status bar shows the current simulated time, the live Growth Index, the current pH, and the current temperature — exactly mirroring what would be shown on the AquaGrow mobile app that a farmer would use to monitor their physical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6"/>
              <w:bottom w:val="single" w:color="B0C4DE" w:sz="1"/>
              <w:right w:val="single" w:color="B0C4DE" w:sz="1"/>
            </w:tcBorders>
            <w:shd w:fill="E8F5E9" w:val="clear"/>
            <w:tcMar>
              <w:top w:type="dxa" w:w="140"/>
              <w:left w:type="dxa" w:w="220"/>
              <w:bottom w:type="dxa" w:w="140"/>
              <w:right w:type="dxa" w:w="220"/>
            </w:tcMar>
          </w:tcPr>
          <w:p>
            <w:pPr>
              <w:spacing w:after="80" w:before="0"/>
            </w:pPr>
            <w:r>
              <w:rPr>
                <w:rFonts w:ascii="Arial" w:cs="Arial" w:eastAsia="Arial" w:hAnsi="Arial"/>
                <w:b/>
                <w:bCs/>
                <w:color w:val="1B6B3A"/>
                <w:sz w:val="22"/>
                <w:szCs w:val="22"/>
              </w:rPr>
              <w:t xml:space="preserve">  For the faculty demonstration</w:t>
            </w:r>
          </w:p>
          <w:p>
            <w:pPr>
              <w:spacing w:after="0" w:before="0"/>
            </w:pPr>
            <w:r>
              <w:rPr>
                <w:rFonts w:ascii="Arial" w:cs="Arial" w:eastAsia="Arial" w:hAnsi="Arial"/>
                <w:sz w:val="22"/>
                <w:szCs w:val="22"/>
              </w:rPr>
              <w:t xml:space="preserve">The live monitor is the best starting point for showing the project to the faculty. Start the simulation, point out how the temperature oscillates and the pH drifts, then switch to the Yield Study tab and drag the temperature slider to show how that immediately changes the yield prediction. This demonstrates the connection between the real-time data and the economic output in an immediately understandable way.</w:t>
            </w:r>
          </w:p>
        </w:tc>
      </w:tr>
    </w:tbl>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Sensitivity Analysis — What Matters Most to Control Tightly?</w:t>
      </w:r>
    </w:p>
    <w:p>
      <w:pPr>
        <w:spacing w:after="140" w:before="80"/>
      </w:pPr>
      <w:r>
        <w:rPr>
          <w:rFonts w:ascii="Arial" w:cs="Arial" w:eastAsia="Arial" w:hAnsi="Arial"/>
          <w:sz w:val="22"/>
          <w:szCs w:val="22"/>
        </w:rPr>
        <w:t xml:space="preserve">Not every sensor needs the same level of attention. The sensitivity analysis module answers the question: if conditions change slightly, which parameter causes the biggest swing in yield?</w:t>
      </w:r>
    </w:p>
    <w:p>
      <w:pPr>
        <w:pStyle w:val="Heading2"/>
        <w:spacing w:after="120" w:before="320"/>
      </w:pPr>
      <w:r>
        <w:rPr>
          <w:rFonts w:ascii="Arial" w:cs="Arial" w:eastAsia="Arial" w:hAnsi="Arial"/>
          <w:b/>
          <w:bCs/>
          <w:color w:val="0F6E56"/>
          <w:sz w:val="30"/>
          <w:szCs w:val="30"/>
        </w:rPr>
        <w:t xml:space="preserve">The Tornado Chart</w:t>
      </w:r>
    </w:p>
    <w:p>
      <w:pPr>
        <w:spacing w:after="140" w:before="80"/>
      </w:pPr>
      <w:r>
        <w:rPr>
          <w:rFonts w:ascii="Arial" w:cs="Arial" w:eastAsia="Arial" w:hAnsi="Arial"/>
          <w:sz w:val="22"/>
          <w:szCs w:val="22"/>
        </w:rPr>
        <w:t xml:space="preserve">The tornado chart shows what happens to yield if each parameter is pushed 15% above or below its current value, while everything else is held constant. The parameters are ranked from most impactful at the top to least impactful at the bottom. The chart consistently shows pH and temperature at the top — meaning these are the parameters that most urgently need tight automated control. CO₂ typically appears near the bottom — meaning small variations in CO₂ level have little practical impact on yield, and a simpler, less precise CO₂ sensor is acceptable.</w:t>
      </w:r>
    </w:p>
    <w:p>
      <w:pPr>
        <w:spacing w:after="140" w:before="80"/>
      </w:pPr>
      <w:r>
        <w:rPr>
          <w:rFonts w:ascii="Arial" w:cs="Arial" w:eastAsia="Arial" w:hAnsi="Arial"/>
          <w:sz w:val="22"/>
          <w:szCs w:val="22"/>
        </w:rPr>
        <w:t xml:space="preserve">This kind of analysis is directly useful for engineering decisions. It tells us where to invest in better sensors and tighter control loops, and where cheaper, simpler monitoring is adequate.</w:t>
      </w:r>
    </w:p>
    <w:p>
      <w:pPr>
        <w:pStyle w:val="Heading2"/>
        <w:spacing w:after="120" w:before="320"/>
      </w:pPr>
      <w:r>
        <w:rPr>
          <w:rFonts w:ascii="Arial" w:cs="Arial" w:eastAsia="Arial" w:hAnsi="Arial"/>
          <w:b/>
          <w:bCs/>
          <w:color w:val="0F6E56"/>
          <w:sz w:val="30"/>
          <w:szCs w:val="30"/>
        </w:rPr>
        <w:t xml:space="preserve">Monte Carlo Simulation — Understanding Uncertainty</w:t>
      </w:r>
    </w:p>
    <w:p>
      <w:pPr>
        <w:spacing w:after="140" w:before="80"/>
      </w:pPr>
      <w:r>
        <w:rPr>
          <w:rFonts w:ascii="Arial" w:cs="Arial" w:eastAsia="Arial" w:hAnsi="Arial"/>
          <w:sz w:val="22"/>
          <w:szCs w:val="22"/>
        </w:rPr>
        <w:t xml:space="preserve">The Monte Carlo simulation runs the yield calculation 1000 times, each time slightly randomising all parameters within realistic ranges. The result is a probability distribution of yields — showing not just the expected yield, but the range of likely outcomes.</w:t>
      </w:r>
    </w:p>
    <w:p>
      <w:pPr>
        <w:spacing w:after="140" w:before="80"/>
      </w:pPr>
      <w:r>
        <w:rPr>
          <w:rFonts w:ascii="Arial" w:cs="Arial" w:eastAsia="Arial" w:hAnsi="Arial"/>
          <w:sz w:val="22"/>
          <w:szCs w:val="22"/>
        </w:rPr>
        <w:t xml:space="preserve">For example, under typical operating conditions the simulation might show that there is a 90% probability that monthly yield will fall between 3.8 and 4.7 kg per square metre of lettuce. This kind of uncertainty quantification is important for commercial planning — it tells a potential investor not just the expected return, but the realistic worst-case scenario.</w:t>
      </w:r>
    </w:p>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Market Context — Why This Technology Is Timely</w:t>
      </w:r>
    </w:p>
    <w:p>
      <w:pPr>
        <w:spacing w:after="140" w:before="80"/>
      </w:pPr>
      <w:r>
        <w:rPr>
          <w:rFonts w:ascii="Arial" w:cs="Arial" w:eastAsia="Arial" w:hAnsi="Arial"/>
          <w:sz w:val="22"/>
          <w:szCs w:val="22"/>
        </w:rPr>
        <w:t xml:space="preserve">The simulation and the project exist in a real commercial context. The global aquaponics market is currently valued at approximately 1.1 billion US dollars (2024) and is projected to more than double to 2.3 billion dollars by 2030 — a growth rate of 13.5% per year. The global hydroponics market is even larger at 5 billion dollars (2023), projected to reach 11 billion by 2030.</w:t>
      </w:r>
    </w:p>
    <w:p>
      <w:pPr>
        <w:spacing w:after="140" w:before="80"/>
      </w:pPr>
      <w:r>
        <w:rPr>
          <w:rFonts w:ascii="Arial" w:cs="Arial" w:eastAsia="Arial" w:hAnsi="Arial"/>
          <w:sz w:val="22"/>
          <w:szCs w:val="22"/>
        </w:rPr>
        <w:t xml:space="preserve">For India specifically, the picture is particularly interesting. The Indian hydroponics market was valued at 592 million dollars in 2025 and is expected to grow at an exceptional 17% per year to reach 2 billion dollars by 2035. This rapid growth is driven by urbanisation, water scarcity, and rising demand for pesticide-free vegetables in Indian cities.</w:t>
      </w:r>
    </w:p>
    <w:p>
      <w:pPr>
        <w:spacing w:after="140" w:before="80"/>
      </w:pPr>
      <w:r>
        <w:rPr>
          <w:rFonts w:ascii="Arial" w:cs="Arial" w:eastAsia="Arial" w:hAnsi="Arial"/>
          <w:sz w:val="22"/>
          <w:szCs w:val="22"/>
        </w:rPr>
        <w:t xml:space="preserve">The primary market survey we conducted confirmed this demand. When we surveyed ten specialists from the Tamil Nadu Agricultural University and Kerala Agricultural University, 70% rated the portable IoT aquaponics concept as highly feasible for urban farming, and 60% said they expect high demand for this type of technology. The most commonly cited advantages were water conservation, automated monitoring, and the ability to produce food in limited urban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563A8" w:sz="6"/>
              <w:left w:val="single" w:color="2563A8" w:sz="6"/>
              <w:bottom w:val="single" w:color="B0C4DE" w:sz="1"/>
              <w:right w:val="single" w:color="B0C4DE" w:sz="1"/>
            </w:tcBorders>
            <w:shd w:fill="EEF4FB" w:val="clear"/>
            <w:tcMar>
              <w:top w:type="dxa" w:w="140"/>
              <w:left w:type="dxa" w:w="220"/>
              <w:bottom w:type="dxa" w:w="140"/>
              <w:right w:type="dxa" w:w="220"/>
            </w:tcMar>
          </w:tcPr>
          <w:p>
            <w:pPr>
              <w:spacing w:after="80" w:before="0"/>
            </w:pPr>
            <w:r>
              <w:rPr>
                <w:rFonts w:ascii="Arial" w:cs="Arial" w:eastAsia="Arial" w:hAnsi="Arial"/>
                <w:b/>
                <w:bCs/>
                <w:color w:val="2563A8"/>
                <w:sz w:val="22"/>
                <w:szCs w:val="22"/>
              </w:rPr>
              <w:t xml:space="preserve">  The commercial opportunity</w:t>
            </w:r>
          </w:p>
          <w:p>
            <w:pPr>
              <w:spacing w:after="0" w:before="0"/>
            </w:pPr>
            <w:r>
              <w:rPr>
                <w:rFonts w:ascii="Arial" w:cs="Arial" w:eastAsia="Arial" w:hAnsi="Arial"/>
                <w:sz w:val="22"/>
                <w:szCs w:val="22"/>
              </w:rPr>
              <w:t xml:space="preserve">A compact AquaGrow unit priced in the 20,000–40,000 rupee range (the sweet spot identified in our survey) targeting urban households, restaurants, and educational institutions sits directly in the fastest-growing segment of a rapidly expanding market. The simulation is the tool that will allow us to optimise the design to maximise yield at that price point.</w:t>
            </w:r>
          </w:p>
        </w:tc>
      </w:tr>
    </w:tbl>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Summary: What We Have Achieved and What Comes Next</w:t>
      </w:r>
    </w:p>
    <w:p>
      <w:pPr>
        <w:pStyle w:val="Heading2"/>
        <w:spacing w:after="120" w:before="320"/>
      </w:pPr>
      <w:r>
        <w:rPr>
          <w:rFonts w:ascii="Arial" w:cs="Arial" w:eastAsia="Arial" w:hAnsi="Arial"/>
          <w:b/>
          <w:bCs/>
          <w:color w:val="0F6E56"/>
          <w:sz w:val="30"/>
          <w:szCs w:val="30"/>
        </w:rPr>
        <w:t xml:space="preserve">What We Have Completed</w:t>
      </w:r>
    </w:p>
    <w:p>
      <w:pPr>
        <w:pStyle w:val="ListParagraph"/>
        <w:numPr>
          <w:ilvl w:val="0"/>
          <w:numId w:val="2"/>
        </w:numPr>
        <w:spacing w:after="50" w:before="50"/>
      </w:pPr>
      <w:r>
        <w:rPr>
          <w:rFonts w:ascii="Arial" w:cs="Arial" w:eastAsia="Arial" w:hAnsi="Arial"/>
          <w:sz w:val="22"/>
          <w:szCs w:val="22"/>
        </w:rPr>
        <w:t xml:space="preserve">A complete mathematical simulation of an aquaponics system, validated against peer-reviewed research data, running in an interactive Python dashboard with 8 analytical panels.</w:t>
      </w:r>
    </w:p>
    <w:p>
      <w:pPr>
        <w:pStyle w:val="ListParagraph"/>
        <w:numPr>
          <w:ilvl w:val="0"/>
          <w:numId w:val="2"/>
        </w:numPr>
        <w:spacing w:after="50" w:before="50"/>
      </w:pPr>
      <w:r>
        <w:rPr>
          <w:rFonts w:ascii="Arial" w:cs="Arial" w:eastAsia="Arial" w:hAnsi="Arial"/>
          <w:sz w:val="22"/>
          <w:szCs w:val="22"/>
        </w:rPr>
        <w:t xml:space="preserve">A sensor noise and Kalman filtering model for 8 sensor types, calibrated from manufacturer specifications and academic literature.</w:t>
      </w:r>
    </w:p>
    <w:p>
      <w:pPr>
        <w:pStyle w:val="ListParagraph"/>
        <w:numPr>
          <w:ilvl w:val="0"/>
          <w:numId w:val="2"/>
        </w:numPr>
        <w:spacing w:after="50" w:before="50"/>
      </w:pPr>
      <w:r>
        <w:rPr>
          <w:rFonts w:ascii="Arial" w:cs="Arial" w:eastAsia="Arial" w:hAnsi="Arial"/>
          <w:sz w:val="22"/>
          <w:szCs w:val="22"/>
        </w:rPr>
        <w:t xml:space="preserve">A crop yield model derived from a global meta-analysis covering 42 hydroponic farms, adjusted for the specific conditions of an integrated aquaponics system.</w:t>
      </w:r>
    </w:p>
    <w:p>
      <w:pPr>
        <w:pStyle w:val="ListParagraph"/>
        <w:numPr>
          <w:ilvl w:val="0"/>
          <w:numId w:val="2"/>
        </w:numPr>
        <w:spacing w:after="50" w:before="50"/>
      </w:pPr>
      <w:r>
        <w:rPr>
          <w:rFonts w:ascii="Arial" w:cs="Arial" w:eastAsia="Arial" w:hAnsi="Arial"/>
          <w:sz w:val="22"/>
          <w:szCs w:val="22"/>
        </w:rPr>
        <w:t xml:space="preserve">A nitrogen cycle ODE model calibrated from Rakocy et al. (2006), the foundational paper of commercial aquaponics, showing the complete transformation from fish waste to plant nutrition.</w:t>
      </w:r>
    </w:p>
    <w:p>
      <w:pPr>
        <w:pStyle w:val="ListParagraph"/>
        <w:numPr>
          <w:ilvl w:val="0"/>
          <w:numId w:val="2"/>
        </w:numPr>
        <w:spacing w:after="50" w:before="50"/>
      </w:pPr>
      <w:r>
        <w:rPr>
          <w:rFonts w:ascii="Arial" w:cs="Arial" w:eastAsia="Arial" w:hAnsi="Arial"/>
          <w:sz w:val="22"/>
          <w:szCs w:val="22"/>
        </w:rPr>
        <w:t xml:space="preserve">A logistic plant growth model showing day-by-day biomass accumulation under any combination of environmental conditions.</w:t>
      </w:r>
    </w:p>
    <w:p>
      <w:pPr>
        <w:pStyle w:val="ListParagraph"/>
        <w:numPr>
          <w:ilvl w:val="0"/>
          <w:numId w:val="2"/>
        </w:numPr>
        <w:spacing w:after="50" w:before="50"/>
      </w:pPr>
      <w:r>
        <w:rPr>
          <w:rFonts w:ascii="Arial" w:cs="Arial" w:eastAsia="Arial" w:hAnsi="Arial"/>
          <w:sz w:val="22"/>
          <w:szCs w:val="22"/>
        </w:rPr>
        <w:t xml:space="preserve">Real-world scenario analysis for four Kerala-specific climate conditions, with automated IoT control responses for each.</w:t>
      </w:r>
    </w:p>
    <w:p>
      <w:pPr>
        <w:pStyle w:val="ListParagraph"/>
        <w:numPr>
          <w:ilvl w:val="0"/>
          <w:numId w:val="2"/>
        </w:numPr>
        <w:spacing w:after="50" w:before="50"/>
      </w:pPr>
      <w:r>
        <w:rPr>
          <w:rFonts w:ascii="Arial" w:cs="Arial" w:eastAsia="Arial" w:hAnsi="Arial"/>
          <w:sz w:val="22"/>
          <w:szCs w:val="22"/>
        </w:rPr>
        <w:t xml:space="preserve">A primary market survey confirming demand and willingness-to-pay from agricultural university specialists.</w:t>
      </w:r>
    </w:p>
    <w:p>
      <w:pPr>
        <w:pStyle w:val="ListParagraph"/>
        <w:numPr>
          <w:ilvl w:val="0"/>
          <w:numId w:val="2"/>
        </w:numPr>
        <w:spacing w:after="50" w:before="50"/>
      </w:pPr>
      <w:r>
        <w:rPr>
          <w:rFonts w:ascii="Arial" w:cs="Arial" w:eastAsia="Arial" w:hAnsi="Arial"/>
          <w:sz w:val="22"/>
          <w:szCs w:val="22"/>
        </w:rPr>
        <w:t xml:space="preserve">A digital twin on the Zoho IoT platform using an ESP32 device simulation, demonstrating the cloud connectivity architecture.</w:t>
      </w:r>
    </w:p>
    <w:p>
      <w:pPr>
        <w:pStyle w:val="Heading2"/>
        <w:spacing w:after="120" w:before="320"/>
      </w:pPr>
      <w:r>
        <w:rPr>
          <w:rFonts w:ascii="Arial" w:cs="Arial" w:eastAsia="Arial" w:hAnsi="Arial"/>
          <w:b/>
          <w:bCs/>
          <w:color w:val="0F6E56"/>
          <w:sz w:val="30"/>
          <w:szCs w:val="30"/>
        </w:rPr>
        <w:t xml:space="preserve">Next Steps</w:t>
      </w:r>
    </w:p>
    <w:p>
      <w:pPr>
        <w:pStyle w:val="ListParagraph"/>
        <w:numPr>
          <w:ilvl w:val="0"/>
          <w:numId w:val="2"/>
        </w:numPr>
        <w:spacing w:after="50" w:before="50"/>
      </w:pPr>
      <w:r>
        <w:rPr>
          <w:rFonts w:ascii="Arial" w:cs="Arial" w:eastAsia="Arial" w:hAnsi="Arial"/>
          <w:b/>
          <w:bCs/>
          <w:sz w:val="22"/>
          <w:szCs w:val="22"/>
        </w:rPr>
        <w:t xml:space="preserve">Physical prototype: </w:t>
      </w:r>
      <w:r>
        <w:rPr>
          <w:rFonts w:ascii="Arial" w:cs="Arial" w:eastAsia="Arial" w:hAnsi="Arial"/>
          <w:sz w:val="22"/>
          <w:szCs w:val="22"/>
        </w:rPr>
        <w:t xml:space="preserve">Build the first hardware unit using the optimal dimensions and component specifications derived from the simulation. Target dimensions: 1.2 m × 0.6 m footprint, 200 L fish tank, two grow beds of 0.6 m² each.</w:t>
      </w:r>
    </w:p>
    <w:p>
      <w:pPr>
        <w:pStyle w:val="ListParagraph"/>
        <w:numPr>
          <w:ilvl w:val="0"/>
          <w:numId w:val="2"/>
        </w:numPr>
        <w:spacing w:after="50" w:before="50"/>
      </w:pPr>
      <w:r>
        <w:rPr>
          <w:rFonts w:ascii="Arial" w:cs="Arial" w:eastAsia="Arial" w:hAnsi="Arial"/>
          <w:b/>
          <w:bCs/>
          <w:sz w:val="22"/>
          <w:szCs w:val="22"/>
        </w:rPr>
        <w:t xml:space="preserve">Sensor integration: </w:t>
      </w:r>
      <w:r>
        <w:rPr>
          <w:rFonts w:ascii="Arial" w:cs="Arial" w:eastAsia="Arial" w:hAnsi="Arial"/>
          <w:sz w:val="22"/>
          <w:szCs w:val="22"/>
        </w:rPr>
        <w:t xml:space="preserve">Flash the ESP32 with the control firmware, connect all 8 sensors, and verify that the physical sensor readings match the simulation's expected ranges.</w:t>
      </w:r>
    </w:p>
    <w:p>
      <w:pPr>
        <w:pStyle w:val="ListParagraph"/>
        <w:numPr>
          <w:ilvl w:val="0"/>
          <w:numId w:val="2"/>
        </w:numPr>
        <w:spacing w:after="50" w:before="50"/>
      </w:pPr>
      <w:r>
        <w:rPr>
          <w:rFonts w:ascii="Arial" w:cs="Arial" w:eastAsia="Arial" w:hAnsi="Arial"/>
          <w:b/>
          <w:bCs/>
          <w:sz w:val="22"/>
          <w:szCs w:val="22"/>
        </w:rPr>
        <w:t xml:space="preserve">Validation experiment: </w:t>
      </w:r>
      <w:r>
        <w:rPr>
          <w:rFonts w:ascii="Arial" w:cs="Arial" w:eastAsia="Arial" w:hAnsi="Arial"/>
          <w:sz w:val="22"/>
          <w:szCs w:val="22"/>
        </w:rPr>
        <w:t xml:space="preserve">Run a 60-day production trial with lettuce and tilapia, recording all sensor data and final yield. Compare the actual yield against the simulation's predictions to validate the mathematical model and refine the parameter values.</w:t>
      </w:r>
    </w:p>
    <w:p>
      <w:pPr>
        <w:pStyle w:val="ListParagraph"/>
        <w:numPr>
          <w:ilvl w:val="0"/>
          <w:numId w:val="2"/>
        </w:numPr>
        <w:spacing w:after="50" w:before="50"/>
      </w:pPr>
      <w:r>
        <w:rPr>
          <w:rFonts w:ascii="Arial" w:cs="Arial" w:eastAsia="Arial" w:hAnsi="Arial"/>
          <w:b/>
          <w:bCs/>
          <w:sz w:val="22"/>
          <w:szCs w:val="22"/>
        </w:rPr>
        <w:t xml:space="preserve">AI model training: </w:t>
      </w:r>
      <w:r>
        <w:rPr>
          <w:rFonts w:ascii="Arial" w:cs="Arial" w:eastAsia="Arial" w:hAnsi="Arial"/>
          <w:sz w:val="22"/>
          <w:szCs w:val="22"/>
        </w:rPr>
        <w:t xml:space="preserve">Replace the rule-based AI recommendations with a machine learning model trained on the actual sensor data from the validation experiment, improving the accuracy and adaptability of the control system.</w:t>
      </w:r>
    </w:p>
    <w:p>
      <w:pPr>
        <w:pStyle w:val="ListParagraph"/>
        <w:numPr>
          <w:ilvl w:val="0"/>
          <w:numId w:val="2"/>
        </w:numPr>
        <w:spacing w:after="50" w:before="50"/>
      </w:pPr>
      <w:r>
        <w:rPr>
          <w:rFonts w:ascii="Arial" w:cs="Arial" w:eastAsia="Arial" w:hAnsi="Arial"/>
          <w:b/>
          <w:bCs/>
          <w:sz w:val="22"/>
          <w:szCs w:val="22"/>
        </w:rPr>
        <w:t xml:space="preserve">Commercial pilot: </w:t>
      </w:r>
      <w:r>
        <w:rPr>
          <w:rFonts w:ascii="Arial" w:cs="Arial" w:eastAsia="Arial" w:hAnsi="Arial"/>
          <w:sz w:val="22"/>
          <w:szCs w:val="22"/>
        </w:rPr>
        <w:t xml:space="preserve">Deploy two units at partner sites — one at a restaurant in Kozhikode for herb production (basil, mint) and one at an educational institution — to demonstrate real-world viability and collect commercial performance data.</w:t>
      </w:r>
    </w:p>
    <w:p>
      <w:pPr>
        <w:spacing w:after="0" w:before="0"/>
      </w:pPr>
      <w:r>
        <w:br/>
      </w:r>
    </w:p>
    <w:p>
      <w:pPr>
        <w:pStyle w:val="Heading1"/>
        <w:pBdr>
          <w:bottom w:val="single" w:color="1B3A6B" w:sz="8" w:space="4"/>
        </w:pBdr>
        <w:spacing w:after="180" w:before="400"/>
      </w:pPr>
      <w:r>
        <w:rPr>
          <w:rFonts w:ascii="Arial" w:cs="Arial" w:eastAsia="Arial" w:hAnsi="Arial"/>
          <w:b/>
          <w:bCs/>
          <w:color w:val="1B3A6B"/>
          <w:sz w:val="40"/>
          <w:szCs w:val="40"/>
        </w:rPr>
        <w:t xml:space="preserve">References</w:t>
      </w:r>
    </w:p>
    <w:p>
      <w:pPr>
        <w:pStyle w:val="ListParagraph"/>
        <w:numPr>
          <w:ilvl w:val="0"/>
          <w:numId w:val="3"/>
        </w:numPr>
        <w:spacing w:after="80" w:before="40"/>
      </w:pPr>
      <w:r>
        <w:rPr>
          <w:rFonts w:ascii="Arial" w:cs="Arial" w:eastAsia="Arial" w:hAnsi="Arial"/>
          <w:sz w:val="20"/>
          <w:szCs w:val="20"/>
        </w:rPr>
        <w:t xml:space="preserve">Love, D. C., Fry, J. P., Li, X., Hill, E. S., Genello, L., Semmens, K., &amp; Thompson, R. E. (2015). Commercial aquaponics production and profitability: Findings from an international survey. Aquaculture, 435, 67–74.</w:t>
      </w:r>
    </w:p>
    <w:p>
      <w:pPr>
        <w:pStyle w:val="ListParagraph"/>
        <w:numPr>
          <w:ilvl w:val="0"/>
          <w:numId w:val="3"/>
        </w:numPr>
        <w:spacing w:after="80" w:before="40"/>
      </w:pPr>
      <w:r>
        <w:rPr>
          <w:rFonts w:ascii="Arial" w:cs="Arial" w:eastAsia="Arial" w:hAnsi="Arial"/>
          <w:sz w:val="20"/>
          <w:szCs w:val="20"/>
        </w:rPr>
        <w:t xml:space="preserve">Chandramenon, R., et al. (2024). Smart Aquaponics 4.0 and water quality monitoring. Computers and Electronics in Agriculture.</w:t>
      </w:r>
    </w:p>
    <w:p>
      <w:pPr>
        <w:pStyle w:val="ListParagraph"/>
        <w:numPr>
          <w:ilvl w:val="0"/>
          <w:numId w:val="3"/>
        </w:numPr>
        <w:spacing w:after="80" w:before="40"/>
      </w:pPr>
      <w:r>
        <w:rPr>
          <w:rFonts w:ascii="Arial" w:cs="Arial" w:eastAsia="Arial" w:hAnsi="Arial"/>
          <w:sz w:val="20"/>
          <w:szCs w:val="20"/>
        </w:rPr>
        <w:t xml:space="preserve">Giacalone, D., &amp; Jaeger, S. R. (2023). Consumer acceptance of novel sustainable food technologies: A multi-country survey. Journal of Cleaner Production, 408, 137119.</w:t>
      </w:r>
    </w:p>
    <w:p>
      <w:pPr>
        <w:pStyle w:val="ListParagraph"/>
        <w:numPr>
          <w:ilvl w:val="0"/>
          <w:numId w:val="3"/>
        </w:numPr>
        <w:spacing w:after="80" w:before="40"/>
      </w:pPr>
      <w:r>
        <w:rPr>
          <w:rFonts w:ascii="Arial" w:cs="Arial" w:eastAsia="Arial" w:hAnsi="Arial"/>
          <w:sz w:val="20"/>
          <w:szCs w:val="20"/>
        </w:rPr>
        <w:t xml:space="preserve">Zou, H., et al. (2023). Eliminating greenhouse heat stress with transparent radiative cooling film. Cell Reports Physical Science, 4(8), 101539.</w:t>
      </w:r>
    </w:p>
    <w:p>
      <w:pPr>
        <w:pStyle w:val="ListParagraph"/>
        <w:numPr>
          <w:ilvl w:val="0"/>
          <w:numId w:val="3"/>
        </w:numPr>
        <w:spacing w:after="80" w:before="40"/>
      </w:pPr>
      <w:r>
        <w:rPr>
          <w:rFonts w:ascii="Arial" w:cs="Arial" w:eastAsia="Arial" w:hAnsi="Arial"/>
          <w:sz w:val="20"/>
          <w:szCs w:val="20"/>
        </w:rPr>
        <w:t xml:space="preserve">Rakocy, J. E., Masser, M. P., &amp; Losordo, T. M. (2006). Recirculating aquaculture tank production systems: Aquaponics — integrating fish and plant culture. SRAC Publication No. 454.</w:t>
      </w:r>
    </w:p>
    <w:p>
      <w:pPr>
        <w:pStyle w:val="ListParagraph"/>
        <w:numPr>
          <w:ilvl w:val="0"/>
          <w:numId w:val="3"/>
        </w:numPr>
        <w:spacing w:after="80" w:before="40"/>
      </w:pPr>
      <w:r>
        <w:rPr>
          <w:rFonts w:ascii="Arial" w:cs="Arial" w:eastAsia="Arial" w:hAnsi="Arial"/>
          <w:sz w:val="20"/>
          <w:szCs w:val="20"/>
        </w:rPr>
        <w:t xml:space="preserve">Touliatos, D., Dodd, I. C., &amp; McAinsh, M. (2016). Vertical farming increases lettuce yield per unit area compared to conventional horizontal hydroponics. Food and Energy Security, 5(3), 184–191.</w:t>
      </w:r>
    </w:p>
    <w:p>
      <w:pPr>
        <w:pStyle w:val="ListParagraph"/>
        <w:numPr>
          <w:ilvl w:val="0"/>
          <w:numId w:val="3"/>
        </w:numPr>
        <w:spacing w:after="80" w:before="40"/>
      </w:pPr>
      <w:r>
        <w:rPr>
          <w:rFonts w:ascii="Arial" w:cs="Arial" w:eastAsia="Arial" w:hAnsi="Arial"/>
          <w:sz w:val="20"/>
          <w:szCs w:val="20"/>
        </w:rPr>
        <w:t xml:space="preserve">Hao, X., &amp; Papadopoulos, A. P. (2004). Effects of supplemental lighting and cover materials on growth, photosynthesis, biomass partitioning, early yield and quality of greenhouse cucumber. Scientia Horticulturae, 80(1–2), 1–18.</w:t>
      </w:r>
    </w:p>
    <w:p>
      <w:pPr>
        <w:pStyle w:val="ListParagraph"/>
        <w:numPr>
          <w:ilvl w:val="0"/>
          <w:numId w:val="3"/>
        </w:numPr>
        <w:spacing w:after="80" w:before="40"/>
      </w:pPr>
      <w:r>
        <w:rPr>
          <w:rFonts w:ascii="Arial" w:cs="Arial" w:eastAsia="Arial" w:hAnsi="Arial"/>
          <w:sz w:val="20"/>
          <w:szCs w:val="20"/>
        </w:rPr>
        <w:t xml:space="preserve">Grand View Research. (2024). Aquaponics market size, share and trends analysis report. grandviewresearch.com</w:t>
      </w:r>
    </w:p>
    <w:p>
      <w:pPr>
        <w:pStyle w:val="ListParagraph"/>
        <w:numPr>
          <w:ilvl w:val="0"/>
          <w:numId w:val="3"/>
        </w:numPr>
        <w:spacing w:after="80" w:before="40"/>
      </w:pPr>
      <w:r>
        <w:rPr>
          <w:rFonts w:ascii="Arial" w:cs="Arial" w:eastAsia="Arial" w:hAnsi="Arial"/>
          <w:sz w:val="20"/>
          <w:szCs w:val="20"/>
        </w:rPr>
        <w:t xml:space="preserve">Grand View Research. (2023). Hydroponics market size, share and trends analysis report. grandviewresearch.com</w:t>
      </w:r>
    </w:p>
    <w:p>
      <w:pPr>
        <w:pStyle w:val="ListParagraph"/>
        <w:numPr>
          <w:ilvl w:val="0"/>
          <w:numId w:val="3"/>
        </w:numPr>
        <w:spacing w:after="80" w:before="40"/>
      </w:pPr>
      <w:r>
        <w:rPr>
          <w:rFonts w:ascii="Arial" w:cs="Arial" w:eastAsia="Arial" w:hAnsi="Arial"/>
          <w:sz w:val="20"/>
          <w:szCs w:val="20"/>
        </w:rPr>
        <w:t xml:space="preserve">Market Research Future. (2025). India hydroponics market report 2025–2035. marketresearchfuture.com</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after="0" w:before="160"/>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r>
      <w:rPr>
        <w:rFonts w:ascii="Arial" w:cs="Arial" w:eastAsia="Arial" w:hAnsi="Arial"/>
        <w:color w:val="777777"/>
        <w:sz w:val="18"/>
        <w:szCs w:val="18"/>
      </w:rPr>
      <w:t xml:space="preserve">          Department of Mechanical Engineering, NIT Calicut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60" w:before="0"/>
    </w:pPr>
    <w:r>
      <w:rPr>
        <w:rFonts w:ascii="Arial" w:cs="Arial" w:eastAsia="Arial" w:hAnsi="Arial"/>
        <w:color w:val="777777"/>
        <w:sz w:val="18"/>
        <w:szCs w:val="18"/>
      </w:rPr>
      <w:t xml:space="preserve">AquaGrow — Portable Integrated Farming with IoT  |  Faculty Report  |  NITC MED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6B"/>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F6E56"/>
      <w:sz w:val="30"/>
      <w:szCs w:val="30"/>
    </w:rPr>
  </w:style>
  <w:style w:type="paragraph" w:styleId="Heading3">
    <w:name w:val="Heading 3"/>
    <w:basedOn w:val="Normal"/>
    <w:next w:val="Normal"/>
    <w:qFormat/>
    <w:pPr>
      <w:spacing w:after="80" w:before="220"/>
      <w:outlineLvl w:val="2"/>
    </w:pPr>
    <w:rPr>
      <w:rFonts w:ascii="Arial" w:cs="Arial" w:eastAsia="Arial" w:hAnsi="Arial"/>
      <w:b/>
      <w:bCs/>
      <w:color w:val="2563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2026-04-10T20:23:50.872Z</dcterms:created>
  <dcterms:modified xsi:type="dcterms:W3CDTF">2026-04-10T20:23:50.873Z</dcterms:modified>
</cp:coreProperties>
</file>

<file path=docProps/custom.xml><?xml version="1.0" encoding="utf-8"?>
<Properties xmlns="http://schemas.openxmlformats.org/officeDocument/2006/custom-properties" xmlns:vt="http://schemas.openxmlformats.org/officeDocument/2006/docPropsVTypes"/>
</file>