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before="0"/>
        <w:jc w:val="center"/>
      </w:pPr>
      <w:r>
        <w:rPr>
          <w:rFonts w:ascii="Arial" w:cs="Arial" w:eastAsia="Arial" w:hAnsi="Arial"/>
          <w:b/>
          <w:bCs/>
          <w:color w:val="1B3A6B"/>
          <w:sz w:val="28"/>
          <w:szCs w:val="28"/>
        </w:rPr>
        <w:t xml:space="preserve">NATIONAL INSTITUTE OF TECHNOLOGY CALICUT</w:t>
      </w:r>
    </w:p>
    <w:p>
      <w:pPr>
        <w:spacing w:after="600" w:before="0"/>
        <w:jc w:val="center"/>
      </w:pPr>
      <w:r>
        <w:rPr>
          <w:rFonts w:ascii="Arial" w:cs="Arial" w:eastAsia="Arial" w:hAnsi="Arial"/>
          <w:color w:val="0F6E56"/>
          <w:sz w:val="24"/>
          <w:szCs w:val="24"/>
        </w:rPr>
        <w:t xml:space="preserve">Department of Mechanical Engineering</w:t>
      </w:r>
    </w:p>
    <w:p>
      <w:pPr>
        <w:spacing w:after="120" w:before="0"/>
        <w:jc w:val="center"/>
      </w:pPr>
      <w:r>
        <w:rPr>
          <w:rFonts w:ascii="Arial" w:cs="Arial" w:eastAsia="Arial" w:hAnsi="Arial"/>
          <w:b/>
          <w:bCs/>
          <w:color w:val="1B3A6B"/>
          <w:sz w:val="52"/>
          <w:szCs w:val="52"/>
        </w:rPr>
        <w:t xml:space="preserve">AquaGrow IoT Simulation</w:t>
      </w:r>
    </w:p>
    <w:p>
      <w:pPr>
        <w:spacing w:after="80" w:before="0"/>
        <w:jc w:val="center"/>
      </w:pPr>
      <w:r>
        <w:rPr>
          <w:rFonts w:ascii="Arial" w:cs="Arial" w:eastAsia="Arial" w:hAnsi="Arial"/>
          <w:i/>
          <w:iCs/>
          <w:color w:val="0F6E56"/>
          <w:sz w:val="32"/>
          <w:szCs w:val="32"/>
        </w:rPr>
        <w:t xml:space="preserve">Portable Integrated Farming with IoT</w:t>
      </w:r>
    </w:p>
    <w:p>
      <w:pPr>
        <w:pBdr>
          <w:bottom w:val="single" w:color="1B3A6B" w:sz="8" w:space="4"/>
        </w:pBdr>
        <w:spacing w:after="480" w:before="0"/>
        <w:jc w:val="center"/>
      </w:pPr>
      <w:r>
        <w:rPr>
          <w:rFonts w:ascii="Arial" w:cs="Arial" w:eastAsia="Arial" w:hAnsi="Arial"/>
          <w:color w:val="555555"/>
          <w:sz w:val="22"/>
          <w:szCs w:val="22"/>
        </w:rPr>
        <w:t xml:space="preserve">Technical Report — Mathematical Models, Sensor Simulation &amp; Dashboard Architecture</w:t>
      </w:r>
    </w:p>
    <w:p>
      <w:pPr>
        <w:spacing w:after="40" w:before="0"/>
        <w:jc w:val="center"/>
      </w:pPr>
      <w:r>
        <w:rPr>
          <w:rFonts w:ascii="Arial" w:cs="Arial" w:eastAsia="Arial" w:hAnsi="Arial"/>
          <w:b/>
          <w:bCs/>
          <w:color w:val="1B3A6B"/>
          <w:sz w:val="22"/>
          <w:szCs w:val="22"/>
        </w:rPr>
        <w:t xml:space="preserve">Project Guide</w:t>
      </w:r>
    </w:p>
    <w:p>
      <w:pPr>
        <w:spacing w:after="20" w:before="0"/>
        <w:jc w:val="center"/>
      </w:pPr>
      <w:r>
        <w:rPr>
          <w:rFonts w:ascii="Arial" w:cs="Arial" w:eastAsia="Arial" w:hAnsi="Arial"/>
          <w:b/>
          <w:bCs/>
          <w:color w:val="0F6E56"/>
          <w:sz w:val="24"/>
          <w:szCs w:val="24"/>
        </w:rPr>
        <w:t xml:space="preserve">Dr. Ratna Kumar K</w:t>
      </w:r>
    </w:p>
    <w:p>
      <w:pPr>
        <w:spacing w:after="280" w:before="0"/>
        <w:jc w:val="center"/>
      </w:pPr>
      <w:r>
        <w:rPr>
          <w:rFonts w:ascii="Arial" w:cs="Arial" w:eastAsia="Arial" w:hAnsi="Arial"/>
          <w:color w:val="555555"/>
          <w:sz w:val="22"/>
          <w:szCs w:val="22"/>
        </w:rPr>
        <w:t xml:space="preserve">Assistant Professor, MED, NITC</w:t>
      </w:r>
    </w:p>
    <w:p>
      <w:pPr>
        <w:spacing w:after="60" w:before="0"/>
        <w:jc w:val="center"/>
      </w:pPr>
      <w:r>
        <w:rPr>
          <w:rFonts w:ascii="Arial" w:cs="Arial" w:eastAsia="Arial" w:hAnsi="Arial"/>
          <w:b/>
          <w:bCs/>
          <w:color w:val="1B3A6B"/>
          <w:sz w:val="22"/>
          <w:szCs w:val="22"/>
        </w:rPr>
        <w:t xml:space="preserve">Group Members</w:t>
      </w:r>
    </w:p>
    <w:p>
      <w:pPr>
        <w:spacing w:after="30" w:before="30"/>
        <w:jc w:val="center"/>
      </w:pPr>
      <w:r>
        <w:rPr>
          <w:rFonts w:ascii="Arial" w:cs="Arial" w:eastAsia="Arial" w:hAnsi="Arial"/>
          <w:color w:val="333333"/>
          <w:sz w:val="22"/>
          <w:szCs w:val="22"/>
        </w:rPr>
        <w:t xml:space="preserve">Manas N — B231064PE</w:t>
      </w:r>
    </w:p>
    <w:p>
      <w:pPr>
        <w:spacing w:after="30" w:before="30"/>
        <w:jc w:val="center"/>
      </w:pPr>
      <w:r>
        <w:rPr>
          <w:rFonts w:ascii="Arial" w:cs="Arial" w:eastAsia="Arial" w:hAnsi="Arial"/>
          <w:color w:val="333333"/>
          <w:sz w:val="22"/>
          <w:szCs w:val="22"/>
        </w:rPr>
        <w:t xml:space="preserve">Deepak Sabariraj S — B230901PE</w:t>
      </w:r>
    </w:p>
    <w:p>
      <w:pPr>
        <w:spacing w:after="30" w:before="30"/>
        <w:jc w:val="center"/>
      </w:pPr>
      <w:r>
        <w:rPr>
          <w:rFonts w:ascii="Arial" w:cs="Arial" w:eastAsia="Arial" w:hAnsi="Arial"/>
          <w:color w:val="333333"/>
          <w:sz w:val="22"/>
          <w:szCs w:val="22"/>
        </w:rPr>
        <w:t xml:space="preserve">Nisantthan S T — B231139PE</w:t>
      </w:r>
    </w:p>
    <w:p>
      <w:pPr>
        <w:spacing w:after="30" w:before="30"/>
        <w:jc w:val="center"/>
      </w:pPr>
      <w:r>
        <w:rPr>
          <w:rFonts w:ascii="Arial" w:cs="Arial" w:eastAsia="Arial" w:hAnsi="Arial"/>
          <w:color w:val="333333"/>
          <w:sz w:val="22"/>
          <w:szCs w:val="22"/>
        </w:rPr>
        <w:t xml:space="preserve">Athul Rag R — B230856PE</w:t>
      </w:r>
    </w:p>
    <w:p>
      <w:pPr>
        <w:spacing w:after="30" w:before="30"/>
        <w:jc w:val="center"/>
      </w:pPr>
      <w:r>
        <w:rPr>
          <w:rFonts w:ascii="Arial" w:cs="Arial" w:eastAsia="Arial" w:hAnsi="Arial"/>
          <w:color w:val="333333"/>
          <w:sz w:val="22"/>
          <w:szCs w:val="22"/>
        </w:rPr>
        <w:t xml:space="preserve">Tejavath Varma — B231288PE</w:t>
      </w:r>
    </w:p>
    <w:p>
      <w:pPr>
        <w:spacing w:after="0" w:before="280"/>
      </w:pPr>
    </w:p>
    <w:p>
      <w:pPr>
        <w:spacing w:after="0" w:before="0"/>
        <w:jc w:val="center"/>
      </w:pPr>
      <w:r>
        <w:rPr>
          <w:rFonts w:ascii="Arial" w:cs="Arial" w:eastAsia="Arial" w:hAnsi="Arial"/>
          <w:color w:val="777777"/>
          <w:sz w:val="22"/>
          <w:szCs w:val="22"/>
        </w:rPr>
        <w:t xml:space="preserve">April 2026</w:t>
      </w:r>
    </w:p>
    <w:p>
      <w:pPr>
        <w:spacing w:after="0" w:before="0"/>
      </w:pPr>
      <w:r>
        <w:br/>
      </w:r>
    </w:p>
    <w:p>
      <w:pPr>
        <w:pBdr>
          <w:bottom w:val="single" w:color="1B3A6B" w:sz="6" w:space="4"/>
        </w:pBdr>
        <w:spacing w:after="240" w:before="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r>
    </w:p>
    <w:p>
      <w:pPr>
        <w:pStyle w:val="Heading1"/>
        <w:pBdr>
          <w:bottom w:val="single" w:color="1B3A6B" w:sz="6" w:space="4"/>
        </w:pBdr>
        <w:spacing w:after="160" w:before="360"/>
      </w:pPr>
      <w:r>
        <w:rPr>
          <w:rFonts w:ascii="Arial" w:cs="Arial" w:eastAsia="Arial" w:hAnsi="Arial"/>
          <w:b/>
          <w:bCs/>
          <w:color w:val="1B3A6B"/>
          <w:sz w:val="36"/>
          <w:szCs w:val="36"/>
        </w:rPr>
        <w:t xml:space="preserve">1. Introduction</w:t>
      </w:r>
    </w:p>
    <w:r>
      <w:rPr>
        <w:rFonts w:ascii="Arial" w:cs="Arial" w:eastAsia="Arial" w:hAnsi="Arial"/>
        <w:sz w:val="22"/>
        <w:szCs w:val="22"/>
      </w:rPr>
      <w:t>AquaGrow is a portable, IoT-enabled aquaponics simulation platform developed as a B.Tech project in the Department of Mechanical Engineering at NIT Calicut. The simulation models the complete closed-loop aquaponics cycle — combining fish aquaculture, hydroponic plant cultivation, and automated IoT sensing — through a set of mathematically rigorous differential equation models.This report provides a comprehensive explanation of (a) the sensor noise and calibration models used in the simulation, (b) the mathematical derivation of the yield calculation, (c) the biological and empirical data sources that parameterise the models, and (d) a detailed walkthrough of every panel in the live simulation dashboard.</w:t>
    </w:r>
    <w:p>
      <w:pPr>
        <w:pStyle w:val="Heading2"/>
        <w:spacing w:after="120" w:before="280"/>
      </w:pPr>
      <w:r>
        <w:rPr>
          <w:rFonts w:ascii="Arial" w:cs="Arial" w:eastAsia="Arial" w:hAnsi="Arial"/>
          <w:b/>
          <w:bCs/>
          <w:color w:val="0F6E56"/>
          <w:sz w:val="28"/>
          <w:szCs w:val="28"/>
        </w:rPr>
        <w:t xml:space="preserve">1.1 System Overview</w:t>
      </w:r>
    </w:p>
    <w:r>
      <w:rPr>
        <w:rFonts w:ascii="Arial" w:cs="Arial" w:eastAsia="Arial" w:hAnsi="Arial"/>
        <w:sz w:val="22"/>
        <w:szCs w:val="22"/>
      </w:rPr>
      <w:t xml:space="preserve">The system integrates four functional subsystems:</w:t>
    </w:r>
    <w:p>
      <w:pPr>
        <w:pStyle w:val="ListParagraph"/>
        <w:numPr>
          <w:ilvl w:val="0"/>
          <w:numId w:val="2"/>
        </w:numPr>
        <w:spacing w:after="40" w:before="40"/>
      </w:pPr>
      <w:r>
        <w:rPr>
          <w:rFonts w:ascii="Arial" w:cs="Arial" w:eastAsia="Arial" w:hAnsi="Arial"/>
          <w:b/>
          <w:bCs/>
          <w:sz w:val="22"/>
          <w:szCs w:val="22"/>
        </w:rPr>
        <w:t xml:space="preserve">Aquaculture unit: </w:t>
      </w:r>
      <w:r>
        <w:rPr>
          <w:rFonts w:ascii="Arial" w:cs="Arial" w:eastAsia="Arial" w:hAnsi="Arial"/>
          <w:sz w:val="22"/>
          <w:szCs w:val="22"/>
        </w:rPr>
        <w:t xml:space="preserve">A fish tank (modelled for tilapia) that generates ammonia waste through metabolic excretion, driving the nitrogen cycle.</w:t>
      </w:r>
    </w:p>
    <w:p>
      <w:pPr>
        <w:pStyle w:val="ListParagraph"/>
        <w:numPr>
          <w:ilvl w:val="0"/>
          <w:numId w:val="2"/>
        </w:numPr>
        <w:spacing w:after="40" w:before="40"/>
      </w:pPr>
      <w:r>
        <w:rPr>
          <w:rFonts w:ascii="Arial" w:cs="Arial" w:eastAsia="Arial" w:hAnsi="Arial"/>
          <w:b/>
          <w:bCs/>
          <w:sz w:val="22"/>
          <w:szCs w:val="22"/>
        </w:rPr>
        <w:t xml:space="preserve">Biofilter: </w:t>
      </w:r>
      <w:r>
        <w:rPr>
          <w:rFonts w:ascii="Arial" w:cs="Arial" w:eastAsia="Arial" w:hAnsi="Arial"/>
          <w:sz w:val="22"/>
          <w:szCs w:val="22"/>
        </w:rPr>
        <w:t xml:space="preserve">A biological filter housing nitrifying bacteria that sequentially convert NH₄⁺ to NO₂⁻ to NO₃⁻, making nitrogen bioavailable for plants.</w:t>
      </w:r>
    </w:p>
    <w:p>
      <w:pPr>
        <w:pStyle w:val="ListParagraph"/>
        <w:numPr>
          <w:ilvl w:val="0"/>
          <w:numId w:val="2"/>
        </w:numPr>
        <w:spacing w:after="40" w:before="40"/>
      </w:pPr>
      <w:r>
        <w:rPr>
          <w:rFonts w:ascii="Arial" w:cs="Arial" w:eastAsia="Arial" w:hAnsi="Arial"/>
          <w:b/>
          <w:bCs/>
          <w:sz w:val="22"/>
          <w:szCs w:val="22"/>
        </w:rPr>
        <w:t xml:space="preserve">Hydroponic grow beds: </w:t>
      </w:r>
      <w:r>
        <w:rPr>
          <w:rFonts w:ascii="Arial" w:cs="Arial" w:eastAsia="Arial" w:hAnsi="Arial"/>
          <w:sz w:val="22"/>
          <w:szCs w:val="22"/>
        </w:rPr>
        <w:t xml:space="preserve">Nutrient Film Technique (NFT) grow channels where plant roots absorb nitrate-enriched water, removing excess nitrogen and producing crop yield.</w:t>
      </w:r>
    </w:p>
    <w:p>
      <w:pPr>
        <w:pStyle w:val="ListParagraph"/>
        <w:numPr>
          <w:ilvl w:val="0"/>
          <w:numId w:val="2"/>
        </w:numPr>
        <w:spacing w:after="40" w:before="40"/>
      </w:pPr>
      <w:r>
        <w:rPr>
          <w:rFonts w:ascii="Arial" w:cs="Arial" w:eastAsia="Arial" w:hAnsi="Arial"/>
          <w:b/>
          <w:bCs/>
          <w:sz w:val="22"/>
          <w:szCs w:val="22"/>
        </w:rPr>
        <w:t xml:space="preserve">IoT sensor network: </w:t>
      </w:r>
      <w:r>
        <w:rPr>
          <w:rFonts w:ascii="Arial" w:cs="Arial" w:eastAsia="Arial" w:hAnsi="Arial"/>
          <w:sz w:val="22"/>
          <w:szCs w:val="22"/>
        </w:rPr>
        <w:t xml:space="preserve">An ESP32 microcontroller with eight sensors (pH, temperature, EC, DO, turbidity, water level, light, CO₂) monitored via the Zoho IoT cloud platform.</w:t>
      </w:r>
    </w:p>
    <w:r>
      <w:rPr>
        <w:rFonts w:ascii="Arial" w:cs="Arial" w:eastAsia="Arial" w:hAnsi="Arial"/>
        <w:sz w:val="22"/>
        <w:szCs w:val="22"/>
      </w:rPr>
      <w:t xml:space="preserve">All four subsystems are modelled mathematically in Python and rendered in an 8-tab interactive dashboard with animated real-time visualisations.</w:t>
    </w:r>
    <w:p>
      <w:pPr>
        <w:spacing w:after="0" w:before="0"/>
      </w:pPr>
      <w:r>
        <w:br/>
      </w:r>
    </w:p>
    <w:p>
      <w:pPr>
        <w:pStyle w:val="Heading1"/>
        <w:pBdr>
          <w:bottom w:val="single" w:color="1B3A6B" w:sz="6" w:space="4"/>
        </w:pBdr>
        <w:spacing w:after="160" w:before="360"/>
      </w:pPr>
      <w:r>
        <w:rPr>
          <w:rFonts w:ascii="Arial" w:cs="Arial" w:eastAsia="Arial" w:hAnsi="Arial"/>
          <w:b/>
          <w:bCs/>
          <w:color w:val="1B3A6B"/>
          <w:sz w:val="36"/>
          <w:szCs w:val="36"/>
        </w:rPr>
        <w:t xml:space="preserve">2. Sensor Mathematical Models</w:t>
      </w:r>
    </w:p>
    <w:r>
      <w:rPr>
        <w:rFonts w:ascii="Arial" w:cs="Arial" w:eastAsia="Arial" w:hAnsi="Arial"/>
        <w:sz w:val="22"/>
        <w:szCs w:val="22"/>
      </w:rPr>
      <w:t xml:space="preserve">Each physical sensor is modelled as the sum of a true signal, additive Gaussian noise, a linear drift term, and an occasional impulse spike. This accurately replicates the behaviour of low-cost IoT sensors in real-world environments and allows the simulation to test the robustness of control logic against measurement uncertainty.</w:t>
    </w:r>
    <w:p>
      <w:pPr>
        <w:pStyle w:val="Heading2"/>
        <w:spacing w:after="120" w:before="280"/>
      </w:pPr>
      <w:r>
        <w:rPr>
          <w:rFonts w:ascii="Arial" w:cs="Arial" w:eastAsia="Arial" w:hAnsi="Arial"/>
          <w:b/>
          <w:bCs/>
          <w:color w:val="0F6E56"/>
          <w:sz w:val="28"/>
          <w:szCs w:val="28"/>
        </w:rPr>
        <w:t xml:space="preserve">2.1 General Sensor Signal Model</w:t>
      </w:r>
    </w:p>
    <w:r>
      <w:rPr>
        <w:rFonts w:ascii="Arial" w:cs="Arial" w:eastAsia="Arial" w:hAnsi="Arial"/>
        <w:sz w:val="22"/>
        <w:szCs w:val="22"/>
      </w:rPr>
      <w:t xml:space="preserve">The raw reading x̂(t) from any sensor at time t is modelled as:</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x̂(t) = x_true(t) + ε(t) + δ(t)·Δ_drift + s(t)·N(0, 5σ²)</w:t>
            </w:r>
          </w:p>
        </w:tc>
      </w:tr>
    </w:tbl>
    <w:p>
      <w:pPr>
        <w:spacing w:after="100" w:before="60"/>
        <w:ind w:left="240"/>
      </w:pPr>
      <w:r>
        <w:rPr>
          <w:rFonts w:ascii="Arial" w:cs="Arial" w:eastAsia="Arial" w:hAnsi="Arial"/>
          <w:i/>
          <w:iCs/>
          <w:color w:val="555555"/>
          <w:sz w:val="20"/>
          <w:szCs w:val="20"/>
        </w:rPr>
        <w:t xml:space="preserve">where x_true is the physical true value, ε(t) is zero-mean Gaussian noise, δ(t)·Δ_drift is a cumulative linear drift, and s(t) is a Bernoulli spike indicator.</w:t>
      </w:r>
    </w:p>
    <w:r>
      <w:rPr>
        <w:rFonts w:ascii="Arial" w:cs="Arial" w:eastAsia="Arial" w:hAnsi="Arial"/>
        <w:sz w:val="22"/>
        <w:szCs w:val="22"/>
      </w:rPr>
      <w:t xml:space="preserve">The three noise components are defined as follows:</w:t>
    </w:r>
    <w:p>
      <w:pPr>
        <w:pStyle w:val="Heading3"/>
        <w:spacing w:after="80" w:before="200"/>
      </w:pPr>
      <w:r>
        <w:rPr>
          <w:rFonts w:ascii="Arial" w:cs="Arial" w:eastAsia="Arial" w:hAnsi="Arial"/>
          <w:b/>
          <w:bCs/>
          <w:color w:val="2563A8"/>
          <w:sz w:val="24"/>
          <w:szCs w:val="24"/>
        </w:rPr>
        <w:t xml:space="preserve">2.1.1 Measurement Noise  ε(t)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ε(t) ~ N(0, σ²)</w:t>
            </w:r>
          </w:p>
        </w:tc>
      </w:tr>
    </w:tbl>
    <w:p>
      <w:pPr>
        <w:spacing w:after="100" w:before="60"/>
        <w:ind w:left="240"/>
      </w:pPr>
      <w:r>
        <w:rPr>
          <w:rFonts w:ascii="Arial" w:cs="Arial" w:eastAsia="Arial" w:hAnsi="Arial"/>
          <w:i/>
          <w:iCs/>
          <w:color w:val="555555"/>
          <w:sz w:val="20"/>
          <w:szCs w:val="20"/>
        </w:rPr>
        <w:t xml:space="preserve">Independent, identically distributed Gaussian noise with standard deviation σ specific to each sensor type.</w:t>
      </w:r>
    </w:p>
    <w:r>
      <w:rPr>
        <w:rFonts w:ascii="Arial" w:cs="Arial" w:eastAsia="Arial" w:hAnsi="Arial"/>
        <w:sz w:val="22"/>
        <w:szCs w:val="22"/>
      </w:rPr>
      <w:t xml:space="preserve">This represents thermal noise, quantisation error, and EMI from adjacent actuators. The noise model is validated by the typical accuracy specifications reported in sensor datasheets for the DS18B20 temperature probe (±0.5°C), the analog pH electrode (±0.05 pH units), and the EC probe (±2% of reading).</w:t>
    </w:r>
    <w:p>
      <w:pPr>
        <w:pStyle w:val="Heading3"/>
        <w:spacing w:after="80" w:before="200"/>
      </w:pPr>
      <w:r>
        <w:rPr>
          <w:rFonts w:ascii="Arial" w:cs="Arial" w:eastAsia="Arial" w:hAnsi="Arial"/>
          <w:b/>
          <w:bCs/>
          <w:color w:val="2563A8"/>
          <w:sz w:val="24"/>
          <w:szCs w:val="24"/>
        </w:rPr>
        <w:t xml:space="preserve">2.1.2 Calibration Drift  δ(t)·Δ_drift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x_true(t) = x_true(0) + Δ_drift · t + ζ(t)</w:t>
            </w:r>
          </w:p>
        </w:tc>
      </w:tr>
    </w:tbl>
    <w:p>
      <w:pPr>
        <w:spacing w:after="100" w:before="60"/>
        <w:ind w:left="240"/>
      </w:pPr>
      <w:r>
        <w:rPr>
          <w:rFonts w:ascii="Arial" w:cs="Arial" w:eastAsia="Arial" w:hAnsi="Arial"/>
          <w:i/>
          <w:iCs/>
          <w:color w:val="555555"/>
          <w:sz w:val="20"/>
          <w:szCs w:val="20"/>
        </w:rPr>
        <w:t xml:space="preserve">where Δ_drift is the sensor-specific drift rate (units/hour) and ζ(t) is a small Brownian perturbation N(0, 0.01·σ²).</w:t>
      </w:r>
    </w:p>
    <w:r>
      <w:rPr>
        <w:rFonts w:ascii="Arial" w:cs="Arial" w:eastAsia="Arial" w:hAnsi="Arial"/>
        <w:sz w:val="22"/>
        <w:szCs w:val="22"/>
      </w:rPr>
      <w:t xml:space="preserve">Drift is caused by fouling of the sensing element (biofilm on pH electrodes), ion migration in reference junctions, and gradual chemical degradation of reagents. The drift rates used in the model are:</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Sensor</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Noise σ</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Drift Rate (per hour)</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Spike Probability</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pH electrode</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0.04 pH</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0.002 pH/h</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Temperature (DS18B20)</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0.3 °C</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0.010 °C/h</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1%</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EC / TDS probe</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0.05 mS/cm</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0.003 mS/cm/h</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DO membrane probe</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0.15 mg/L</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0.005 mg/L/h</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3%</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Turbidity (optical)</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1.0 NTU</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0.020 NTU/h</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4%</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CO₂ (NDIR)</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20 ppm</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0.500 ppm/h</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2%</w:t>
            </w:r>
          </w:p>
        </w:tc>
      </w:tr>
    </w:tbl>
    <w:r>
      <w:rPr>
        <w:rFonts w:ascii="Arial" w:cs="Arial" w:eastAsia="Arial" w:hAnsi="Arial"/>
        <w:sz w:val="22"/>
        <w:szCs w:val="22"/>
      </w:rPr>
      <w:t xml:space="preserve">These values are based on the reported drift characteristics from sensor manufacturer datasheets and the validation study by Chandramenon et al. (2024), which characterised aquaponics IoT sensor performance under tropical conditions.</w:t>
    </w:r>
    <w:p>
      <w:pPr>
        <w:pStyle w:val="Heading3"/>
        <w:spacing w:after="80" w:before="200"/>
      </w:pPr>
      <w:r>
        <w:rPr>
          <w:rFonts w:ascii="Arial" w:cs="Arial" w:eastAsia="Arial" w:hAnsi="Arial"/>
          <w:b/>
          <w:bCs/>
          <w:color w:val="2563A8"/>
          <w:sz w:val="24"/>
          <w:szCs w:val="24"/>
        </w:rPr>
        <w:t xml:space="preserve">2.1.3 Spike Events  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s(t) ~ Bernoulli(p_spike),    spike_amplitude ~ N(0, 25σ²)</w:t>
            </w:r>
          </w:p>
        </w:tc>
      </w:tr>
    </w:tbl>
    <w:p>
      <w:pPr>
        <w:spacing w:after="100" w:before="60"/>
        <w:ind w:left="240"/>
      </w:pPr>
      <w:r>
        <w:rPr>
          <w:rFonts w:ascii="Arial" w:cs="Arial" w:eastAsia="Arial" w:hAnsi="Arial"/>
          <w:i/>
          <w:iCs/>
          <w:color w:val="555555"/>
          <w:sz w:val="20"/>
          <w:szCs w:val="20"/>
        </w:rPr>
        <w:t xml:space="preserve">A spike occurs with probability p_spike at each time step and has amplitude drawn from N(0, 25σ²) — five times the normal noise standard deviation.</w:t>
      </w:r>
    </w:p>
    <w:r>
      <w:rPr>
        <w:rFonts w:ascii="Arial" w:cs="Arial" w:eastAsia="Arial" w:hAnsi="Arial"/>
        <w:sz w:val="22"/>
        <w:szCs w:val="22"/>
      </w:rPr>
      <w:t xml:space="preserve">Spikes model physical disturbances including air bubbles over the pH electrode sensing surface, mechanical vibration during pump switching, and brief power supply fluctuations affecting ADC readings.</w:t>
    </w:r>
    <w:p>
      <w:pPr>
        <w:pStyle w:val="Heading2"/>
        <w:spacing w:after="120" w:before="280"/>
      </w:pPr>
      <w:r>
        <w:rPr>
          <w:rFonts w:ascii="Arial" w:cs="Arial" w:eastAsia="Arial" w:hAnsi="Arial"/>
          <w:b/>
          <w:bCs/>
          <w:color w:val="0F6E56"/>
          <w:sz w:val="28"/>
          <w:szCs w:val="28"/>
        </w:rPr>
        <w:t xml:space="preserve">2.2 Kalman Filter for Signal Reconstruction</w:t>
      </w:r>
    </w:p>
    <w:r>
      <w:rPr>
        <w:rFonts w:ascii="Arial" w:cs="Arial" w:eastAsia="Arial" w:hAnsi="Arial"/>
        <w:sz w:val="22"/>
        <w:szCs w:val="22"/>
      </w:rPr>
      <w:t xml:space="preserve">The raw noisy signal is processed using a one-dimensional Kalman filter to reconstruct the true underlying value. The Kalman filter is the optimal linear estimator for Gaussian noise and is widely used in embedded sensor fusion applications.</w:t>
    </w:r>
    <w:p>
      <w:pPr>
        <w:pStyle w:val="Heading3"/>
        <w:spacing w:after="80" w:before="200"/>
      </w:pPr>
      <w:r>
        <w:rPr>
          <w:rFonts w:ascii="Arial" w:cs="Arial" w:eastAsia="Arial" w:hAnsi="Arial"/>
          <w:b/>
          <w:bCs/>
          <w:color w:val="2563A8"/>
          <w:sz w:val="24"/>
          <w:szCs w:val="24"/>
        </w:rPr>
        <w:t xml:space="preserve">2.2.1 Kalman Filter Equations</w:t>
      </w:r>
    </w:p>
    <w:r>
      <w:rPr>
        <w:rFonts w:ascii="Arial" w:cs="Arial" w:eastAsia="Arial" w:hAnsi="Arial"/>
        <w:sz w:val="22"/>
        <w:szCs w:val="22"/>
      </w:rPr>
      <w:t xml:space="preserve">The filter operates in a predict–update cycle at each time step k:</w:t>
    </w:r>
    <w:r>
      <w:rPr>
        <w:rFonts w:ascii="Arial" w:cs="Arial" w:eastAsia="Arial" w:hAnsi="Arial"/>
        <w:b/>
        <w:bCs/>
        <w:sz w:val="22"/>
        <w:szCs w:val="22"/>
      </w:rPr>
      <w:t xml:space="preserve">Prediction step:</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x̂⁻ₖ = x̂ₖ₋₁</w:t>
            </w:r>
          </w:p>
        </w:tc>
      </w:tr>
    </w:tbl>
    <w:p>
      <w:pPr>
        <w:spacing w:after="100" w:before="60"/>
        <w:ind w:left="240"/>
      </w:pPr>
      <w:r>
        <w:rPr>
          <w:rFonts w:ascii="Arial" w:cs="Arial" w:eastAsia="Arial" w:hAnsi="Arial"/>
          <w:i/>
          <w:iCs/>
          <w:color w:val="555555"/>
          <w:sz w:val="20"/>
          <w:szCs w:val="20"/>
        </w:rPr>
        <w:t xml:space="preserve">Predicted state estimate (constant-velocity model, no actuation).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P⁻ₖ = Pₖ₋₁ + Q</w:t>
            </w:r>
          </w:p>
        </w:tc>
      </w:tr>
    </w:tbl>
    <w:p>
      <w:pPr>
        <w:spacing w:after="100" w:before="60"/>
        <w:ind w:left="240"/>
      </w:pPr>
      <w:r>
        <w:rPr>
          <w:rFonts w:ascii="Arial" w:cs="Arial" w:eastAsia="Arial" w:hAnsi="Arial"/>
          <w:i/>
          <w:iCs/>
          <w:color w:val="555555"/>
          <w:sz w:val="20"/>
          <w:szCs w:val="20"/>
        </w:rPr>
        <w:t xml:space="preserve">Predicted error covariance, Q = process noise variance.</w:t>
      </w:r>
    </w:p>
    <w:r>
      <w:rPr>
        <w:rFonts w:ascii="Arial" w:cs="Arial" w:eastAsia="Arial" w:hAnsi="Arial"/>
        <w:b/>
        <w:bCs/>
        <w:sz w:val="22"/>
        <w:szCs w:val="22"/>
      </w:rPr>
      <w:t xml:space="preserve">Update step:</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Kₖ = P⁻ₖ / (P⁻ₖ + R)</w:t>
            </w:r>
          </w:p>
        </w:tc>
      </w:tr>
    </w:tbl>
    <w:p>
      <w:pPr>
        <w:spacing w:after="100" w:before="60"/>
        <w:ind w:left="240"/>
      </w:pPr>
      <w:r>
        <w:rPr>
          <w:rFonts w:ascii="Arial" w:cs="Arial" w:eastAsia="Arial" w:hAnsi="Arial"/>
          <w:i/>
          <w:iCs/>
          <w:color w:val="555555"/>
          <w:sz w:val="20"/>
          <w:szCs w:val="20"/>
        </w:rPr>
        <w:t xml:space="preserve">Kalman gain, where R = measurement noise variance (R = σ²).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x̂ₖ = x̂⁻ₖ + Kₖ · (zₖ − x̂⁻ₖ)</w:t>
            </w:r>
          </w:p>
        </w:tc>
      </w:tr>
    </w:tbl>
    <w:p>
      <w:pPr>
        <w:spacing w:after="100" w:before="60"/>
        <w:ind w:left="240"/>
      </w:pPr>
      <w:r>
        <w:rPr>
          <w:rFonts w:ascii="Arial" w:cs="Arial" w:eastAsia="Arial" w:hAnsi="Arial"/>
          <w:i/>
          <w:iCs/>
          <w:color w:val="555555"/>
          <w:sz w:val="20"/>
          <w:szCs w:val="20"/>
        </w:rPr>
        <w:t xml:space="preserve">Updated state estimate using measurement zₖ.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Pₖ = (1 − Kₖ) · P⁻ₖ</w:t>
            </w:r>
          </w:p>
        </w:tc>
      </w:tr>
    </w:tbl>
    <w:p>
      <w:pPr>
        <w:spacing w:after="100" w:before="60"/>
        <w:ind w:left="240"/>
      </w:pPr>
      <w:r>
        <w:rPr>
          <w:rFonts w:ascii="Arial" w:cs="Arial" w:eastAsia="Arial" w:hAnsi="Arial"/>
          <w:i/>
          <w:iCs/>
          <w:color w:val="555555"/>
          <w:sz w:val="20"/>
          <w:szCs w:val="20"/>
        </w:rPr>
        <w:t xml:space="preserve">Updated error covariance.</w:t>
      </w:r>
    </w:p>
    <w:r>
      <w:rPr>
        <w:rFonts w:ascii="Arial" w:cs="Arial" w:eastAsia="Arial" w:hAnsi="Arial"/>
        <w:sz w:val="22"/>
        <w:szCs w:val="22"/>
      </w:rPr>
      <w:t xml:space="preserve">The process noise Q is set to Q = 0.01σ², representing the belief that the true signal changes slowly relative to the measurement noise. A higher Q would allow the filter to track faster transients at the cost of reduced noise rejection.</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A8" w:sz="4"/>
              <w:left w:val="single" w:color="B0C4DE" w:sz="1"/>
              <w:bottom w:val="single" w:color="B0C4DE" w:sz="1"/>
              <w:right w:val="single" w:color="B0C4DE" w:sz="1"/>
            </w:tcBorders>
            <w:shd w:fill="EAF3FB" w:val="clear"/>
            <w:tcMar>
              <w:top w:type="dxa" w:w="120"/>
              <w:left w:type="dxa" w:w="200"/>
              <w:bottom w:type="dxa" w:w="120"/>
              <w:right w:type="dxa" w:w="200"/>
            </w:tcMar>
          </w:tcPr>
          <w:p>
            <w:pPr>
              <w:spacing w:after="60" w:before="0"/>
            </w:pPr>
            <w:r>
              <w:rPr>
                <w:rFonts w:ascii="Arial" w:cs="Arial" w:eastAsia="Arial" w:hAnsi="Arial"/>
                <w:b/>
                <w:bCs/>
                <w:color w:val="1B3A6B"/>
                <w:sz w:val="22"/>
                <w:szCs w:val="22"/>
              </w:rPr>
              <w:t xml:space="preserve">Parameter selection rationale</w:t>
            </w:r>
          </w:p>
          <w:p>
            <w:pPr>
              <w:spacing w:after="0" w:before="0"/>
            </w:pPr>
            <w:r>
              <w:rPr>
                <w:rFonts w:ascii="Arial" w:cs="Arial" w:eastAsia="Arial" w:hAnsi="Arial"/>
                <w:sz w:val="22"/>
                <w:szCs w:val="22"/>
              </w:rPr>
              <w:t xml:space="preserve">Q = 0.01σ² gives a steady-state Kalman gain of K ≈ 0.09, meaning only 9% of each new measurement is incorporated and 91% comes from the prior. This effectively averages roughly 11 consecutive readings, producing a noise reduction of approximately √11 ≈ 3.3× in the standard deviation of the filtered signal.</w:t>
            </w:r>
          </w:p>
        </w:tc>
      </w:tr>
    </w:tbl>
    <w:p>
      <w:pPr>
        <w:pStyle w:val="Heading2"/>
        <w:spacing w:after="120" w:before="280"/>
      </w:pPr>
      <w:r>
        <w:rPr>
          <w:rFonts w:ascii="Arial" w:cs="Arial" w:eastAsia="Arial" w:hAnsi="Arial"/>
          <w:b/>
          <w:bCs/>
          <w:color w:val="0F6E56"/>
          <w:sz w:val="28"/>
          <w:szCs w:val="28"/>
        </w:rPr>
        <w:t xml:space="preserve">2.3 Sensor-to-Yield Impact Analysis</w:t>
      </w:r>
    </w:p>
    <w:r>
      <w:rPr>
        <w:rFonts w:ascii="Arial" w:cs="Arial" w:eastAsia="Arial" w:hAnsi="Arial"/>
        <w:sz w:val="22"/>
        <w:szCs w:val="22"/>
      </w:rPr>
      <w:t xml:space="preserve">Each sensor's measurement error propagates into the growth index (GI) and ultimately into yield estimation. The sensitivity of yield to sensor error is quantified by computing the partial derivative of GI with respect to each sensor's measured parameter. For pH, which sits on a Gaussian bell curve response:</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∂GI/∂pH ≈ −(pH − pH_mid) / σ_pH² · SF(pH) · GI</w:t>
            </w:r>
          </w:p>
        </w:tc>
      </w:tr>
    </w:tbl>
    <w:p>
      <w:pPr>
        <w:spacing w:after="100" w:before="60"/>
        <w:ind w:left="240"/>
      </w:pPr>
      <w:r>
        <w:rPr>
          <w:rFonts w:ascii="Arial" w:cs="Arial" w:eastAsia="Arial" w:hAnsi="Arial"/>
          <w:i/>
          <w:iCs/>
          <w:color w:val="555555"/>
          <w:sz w:val="20"/>
          <w:szCs w:val="20"/>
        </w:rPr>
        <w:t xml:space="preserve">where pH_mid = 7.0 is the optimal pH midpoint and σ_pH is the bell-curve width parameter.</w:t>
      </w:r>
    </w:p>
    <w:r>
      <w:rPr>
        <w:rFonts w:ascii="Arial" w:cs="Arial" w:eastAsia="Arial" w:hAnsi="Arial"/>
        <w:sz w:val="22"/>
        <w:szCs w:val="22"/>
      </w:rPr>
      <w:t xml:space="preserve">This means a pH measurement error of ±0.1 units near the optimum (7.0) causes a yield error of approximately ±0.8%, while the same error at pH = 6.5 (the stress boundary) causes a ±3.2% yield error because the bell curve is steeper there.</w:t>
    </w:r>
    <w:p>
      <w:pPr>
        <w:spacing w:after="0" w:before="0"/>
      </w:pPr>
      <w:r>
        <w:br/>
      </w:r>
    </w:p>
    <w:p>
      <w:pPr>
        <w:pStyle w:val="Heading1"/>
        <w:pBdr>
          <w:bottom w:val="single" w:color="1B3A6B" w:sz="6" w:space="4"/>
        </w:pBdr>
        <w:spacing w:after="160" w:before="360"/>
      </w:pPr>
      <w:r>
        <w:rPr>
          <w:rFonts w:ascii="Arial" w:cs="Arial" w:eastAsia="Arial" w:hAnsi="Arial"/>
          <w:b/>
          <w:bCs/>
          <w:color w:val="1B3A6B"/>
          <w:sz w:val="36"/>
          <w:szCs w:val="36"/>
        </w:rPr>
        <w:t xml:space="preserve">3. Yield Calculation — Mathematical Model</w:t>
      </w:r>
    </w:p>
    <w:p>
      <w:pPr>
        <w:pStyle w:val="Heading2"/>
        <w:spacing w:after="120" w:before="280"/>
      </w:pPr>
      <w:r>
        <w:rPr>
          <w:rFonts w:ascii="Arial" w:cs="Arial" w:eastAsia="Arial" w:hAnsi="Arial"/>
          <w:b/>
          <w:bCs/>
          <w:color w:val="0F6E56"/>
          <w:sz w:val="28"/>
          <w:szCs w:val="28"/>
        </w:rPr>
        <w:t xml:space="preserve">3.1 Overview of the Stress-Factor Framework</w:t>
      </w:r>
    </w:p>
    <w:r>
      <w:rPr>
        <w:rFonts w:ascii="Arial" w:cs="Arial" w:eastAsia="Arial" w:hAnsi="Arial"/>
        <w:sz w:val="22"/>
        <w:szCs w:val="22"/>
      </w:rPr>
      <w:t xml:space="preserve">The yield model is built on Liebig's Law of the Minimum, extended to a continuous multiplicative form. Liebig's original law states that plant growth is limited by the single most deficient nutrient or environmental factor. The continuous extension replaces the hard min() with a geometric mean of individual stress factors, which is differentiable and better reflects the observed gradual response of plants to sub-optimal conditions.</w:t>
    </w:r>
    <w:p>
      <w:pPr>
        <w:pStyle w:val="Heading2"/>
        <w:spacing w:after="120" w:before="280"/>
      </w:pPr>
      <w:r>
        <w:rPr>
          <w:rFonts w:ascii="Arial" w:cs="Arial" w:eastAsia="Arial" w:hAnsi="Arial"/>
          <w:b/>
          <w:bCs/>
          <w:color w:val="0F6E56"/>
          <w:sz w:val="28"/>
          <w:szCs w:val="28"/>
        </w:rPr>
        <w:t xml:space="preserve">3.2 Individual Stress Factor Computation</w:t>
      </w:r>
    </w:p>
    <w:r>
      <w:rPr>
        <w:rFonts w:ascii="Arial" w:cs="Arial" w:eastAsia="Arial" w:hAnsi="Arial"/>
        <w:sz w:val="22"/>
        <w:szCs w:val="22"/>
      </w:rPr>
      <w:t xml:space="preserve">For each environmental parameter x, a stress factor SF(x) ∈ [0, 1] is computed using a Gaussian bell-curve response function:</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SF(x) = exp[ −½ · ((x − x_mid) / (σ_frac · (x_hi − x_lo)))² ]</w:t>
            </w:r>
          </w:p>
        </w:tc>
      </w:tr>
    </w:tbl>
    <w:p>
      <w:pPr>
        <w:spacing w:after="100" w:before="60"/>
        <w:ind w:left="240"/>
      </w:pPr>
      <w:r>
        <w:rPr>
          <w:rFonts w:ascii="Arial" w:cs="Arial" w:eastAsia="Arial" w:hAnsi="Arial"/>
          <w:i/>
          <w:iCs/>
          <w:color w:val="555555"/>
          <w:sz w:val="20"/>
          <w:szCs w:val="20"/>
        </w:rPr>
        <w:t xml:space="preserve">where x_mid = (x_hi + x_lo)/2 is the midpoint of the optimal range, and σ_frac controls how sharply yield falls outside the optimal window.</w:t>
      </w:r>
    </w:p>
    <w:r>
      <w:rPr>
        <w:rFonts w:ascii="Arial" w:cs="Arial" w:eastAsia="Arial" w:hAnsi="Arial"/>
        <w:sz w:val="22"/>
        <w:szCs w:val="22"/>
      </w:rPr>
      <w:t xml:space="preserve">The optimal ranges and σ_frac values used for each parameter are:</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w:t>
            </w:r>
          </w:p>
        </w:tc>
        <w:tc>
          <w:tcPr>
            <w:tcW w:type="dxa" w:w="1504"/>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Optimal Low</w:t>
            </w:r>
          </w:p>
        </w:tc>
        <w:tc>
          <w:tcPr>
            <w:tcW w:type="dxa" w:w="1504"/>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Optimal High</w:t>
            </w:r>
          </w:p>
        </w:tc>
        <w:tc>
          <w:tcPr>
            <w:tcW w:type="dxa" w:w="1504"/>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x_mid</w:t>
            </w:r>
          </w:p>
        </w:tc>
        <w:tc>
          <w:tcPr>
            <w:tcW w:type="dxa" w:w="1504"/>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σ_frac</w:t>
            </w:r>
          </w:p>
        </w:tc>
        <w:tc>
          <w:tcPr>
            <w:tcW w:type="dxa" w:w="1504"/>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Physical interpretation</w:t>
            </w:r>
          </w:p>
        </w:tc>
      </w:tr>
      <w:tr>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Temperature</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20 °C</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26 °C</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23 °C</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0.30</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Enzyme kinetics peak</w:t>
            </w:r>
          </w:p>
        </w:tc>
      </w:tr>
      <w:tr>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pH</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6.8</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7.2</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7.0</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0.25</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Nutrient solubility optimal</w:t>
            </w:r>
          </w:p>
        </w:tc>
      </w:tr>
      <w:tr>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EC (nutrients)</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1.5 mS/cm</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2.5 mS/cm</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2.0 mS/cm</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0.30</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Ion availability balanced</w:t>
            </w:r>
          </w:p>
        </w:tc>
      </w:tr>
      <w:tr>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DO</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6.0 mg/L</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8.0 mg/L</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7.0 mg/L</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0.30</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Aerobic root metabolism</w:t>
            </w:r>
          </w:p>
        </w:tc>
      </w:tr>
      <w:tr>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Light</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25 klux</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40 klux</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32.5 klux</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0.30</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Photosynthetic saturation</w:t>
            </w:r>
          </w:p>
        </w:tc>
      </w:tr>
      <w:tr>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CO₂</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700 ppm</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1200 ppm</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950 ppm</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0.30</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Carbon fixation rate</w:t>
            </w:r>
          </w:p>
        </w:tc>
      </w:tr>
      <w:tr>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Ammonia</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 ppm</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0.5 ppm</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linear</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w:t>
            </w:r>
          </w:p>
        </w:tc>
        <w:tc>
          <w:tcPr>
            <w:tcW w:type="dxa" w:w="1504"/>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Toxicity threshold for fish</w:t>
            </w:r>
          </w:p>
        </w:tc>
      </w:tr>
      <w:tr>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Turbidity</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 NTU</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20 NTU</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linear</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w:t>
            </w:r>
          </w:p>
        </w:tc>
        <w:tc>
          <w:tcPr>
            <w:tcW w:type="dxa" w:w="1504"/>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Light penetration</w:t>
            </w:r>
          </w:p>
        </w:tc>
      </w:tr>
    </w:tbl>
    <w:r>
      <w:rPr>
        <w:rFonts w:ascii="Arial" w:cs="Arial" w:eastAsia="Arial" w:hAnsi="Arial"/>
        <w:sz w:val="22"/>
        <w:szCs w:val="22"/>
      </w:rPr>
      <w:t xml:space="preserve">For ammonia and turbidity, which have monotonically negative effects, a simpler linear model is used:</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SF_ammonia = max(0,  1 − [NH₃] / 2.0)</w:t>
            </w:r>
          </w:p>
        </w:tc>
      </w:tr>
    </w:tbl>
    <w:p>
      <w:pPr>
        <w:spacing w:after="100" w:before="60"/>
        <w:ind w:left="240"/>
      </w:pPr>
      <w:r>
        <w:rPr>
          <w:rFonts w:ascii="Arial" w:cs="Arial" w:eastAsia="Arial" w:hAnsi="Arial"/>
          <w:i/>
          <w:iCs/>
          <w:color w:val="555555"/>
          <w:sz w:val="20"/>
          <w:szCs w:val="20"/>
        </w:rPr>
        <w:t xml:space="preserve">Yield falls to zero at 2 ppm free ammonia.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SF_turbidity = max(0, 1 − NTU / 200.0)</w:t>
            </w:r>
          </w:p>
        </w:tc>
      </w:tr>
    </w:tbl>
    <w:p>
      <w:pPr>
        <w:spacing w:after="100" w:before="60"/>
        <w:ind w:left="240"/>
      </w:pPr>
      <w:r>
        <w:rPr>
          <w:rFonts w:ascii="Arial" w:cs="Arial" w:eastAsia="Arial" w:hAnsi="Arial"/>
          <w:i/>
          <w:iCs/>
          <w:color w:val="555555"/>
          <w:sz w:val="20"/>
          <w:szCs w:val="20"/>
        </w:rPr>
        <w:t xml:space="preserve">Yield falls to zero at 200 NTU.</w:t>
      </w:r>
    </w:p>
    <w:p>
      <w:pPr>
        <w:pStyle w:val="Heading2"/>
        <w:spacing w:after="120" w:before="280"/>
      </w:pPr>
      <w:r>
        <w:rPr>
          <w:rFonts w:ascii="Arial" w:cs="Arial" w:eastAsia="Arial" w:hAnsi="Arial"/>
          <w:b/>
          <w:bCs/>
          <w:color w:val="0F6E56"/>
          <w:sz w:val="28"/>
          <w:szCs w:val="28"/>
        </w:rPr>
        <w:t xml:space="preserve">3.3 Composite Growth Index</w:t>
      </w:r>
    </w:p>
    <w:r>
      <w:rPr>
        <w:rFonts w:ascii="Arial" w:cs="Arial" w:eastAsia="Arial" w:hAnsi="Arial"/>
        <w:sz w:val="22"/>
        <w:szCs w:val="22"/>
      </w:rPr>
      <w:t xml:space="preserve">The Growth Index GI is the geometric mean of all individual stress factors:</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GI = ( ∏ᵢ SF_i )^(1/n)</w:t>
            </w:r>
          </w:p>
        </w:tc>
      </w:tr>
    </w:tbl>
    <w:p>
      <w:pPr>
        <w:spacing w:after="100" w:before="60"/>
        <w:ind w:left="240"/>
      </w:pPr>
      <w:r>
        <w:rPr>
          <w:rFonts w:ascii="Arial" w:cs="Arial" w:eastAsia="Arial" w:hAnsi="Arial"/>
          <w:i/>
          <w:iCs/>
          <w:color w:val="555555"/>
          <w:sz w:val="20"/>
          <w:szCs w:val="20"/>
        </w:rPr>
        <w:t xml:space="preserve">where n = 8 is the number of stress factors. The geometric mean is chosen over the arithmetic mean because it strongly penalises any single limiting factor — if one SF = 0, GI = 0 regardless of the others.</w:t>
      </w:r>
    </w:p>
    <w:r>
      <w:rPr>
        <w:rFonts w:ascii="Arial" w:cs="Arial" w:eastAsia="Arial" w:hAnsi="Arial"/>
        <w:sz w:val="22"/>
        <w:szCs w:val="22"/>
      </w:rPr>
      <w:t xml:space="preserve">The geometric mean is mathematically equivalent to the exponential of the arithmetic mean of the log-stress-factors, connecting the model to the well-established log-normal framework used in crop modelling:</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GI = exp[ (1/n) · Σᵢ ln(SF_i) ]</w:t>
            </w:r>
          </w:p>
        </w:tc>
      </w:tr>
    </w:tbl>
    <w:p>
      <w:pPr>
        <w:spacing w:after="100" w:before="60"/>
        <w:ind w:left="240"/>
      </w:pPr>
      <w:r>
        <w:rPr>
          <w:rFonts w:ascii="Arial" w:cs="Arial" w:eastAsia="Arial" w:hAnsi="Arial"/>
          <w:i/>
          <w:iCs/>
          <w:color w:val="555555"/>
          <w:sz w:val="20"/>
          <w:szCs w:val="20"/>
        </w:rPr>
        <w:t xml:space="preserve">This form highlights that yield responds log-linearly to each stress factor in the vicinity of the optimum.</w:t>
      </w:r>
    </w:p>
    <w:p>
      <w:pPr>
        <w:pStyle w:val="Heading2"/>
        <w:spacing w:after="120" w:before="280"/>
      </w:pPr>
      <w:r>
        <w:rPr>
          <w:rFonts w:ascii="Arial" w:cs="Arial" w:eastAsia="Arial" w:hAnsi="Arial"/>
          <w:b/>
          <w:bCs/>
          <w:color w:val="0F6E56"/>
          <w:sz w:val="28"/>
          <w:szCs w:val="28"/>
        </w:rPr>
        <w:t xml:space="preserve">3.4 Projected Yield Calculation</w:t>
      </w:r>
    </w:p>
    <w:r>
      <w:rPr>
        <w:rFonts w:ascii="Arial" w:cs="Arial" w:eastAsia="Arial" w:hAnsi="Arial"/>
        <w:sz w:val="22"/>
        <w:szCs w:val="22"/>
      </w:rPr>
      <w:t xml:space="preserve">The final projected yield Y (kg / m² / month) for a given crop is:</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Y(crop, state) = Y_base(crop) · GI(state)</w:t>
            </w:r>
          </w:p>
        </w:tc>
      </w:tr>
    </w:tbl>
    <w:p>
      <w:pPr>
        <w:spacing w:after="100" w:before="60"/>
        <w:ind w:left="240"/>
      </w:pPr>
      <w:r>
        <w:rPr>
          <w:rFonts w:ascii="Arial" w:cs="Arial" w:eastAsia="Arial" w:hAnsi="Arial"/>
          <w:i/>
          <w:iCs/>
          <w:color w:val="555555"/>
          <w:sz w:val="20"/>
          <w:szCs w:val="20"/>
        </w:rPr>
        <w:t xml:space="preserve">where Y_base(crop) is the empirically established baseline yield at fully optimal conditions.</w:t>
      </w:r>
    </w:p>
    <w:r>
      <w:rPr>
        <w:rFonts w:ascii="Arial" w:cs="Arial" w:eastAsia="Arial" w:hAnsi="Arial"/>
        <w:sz w:val="22"/>
        <w:szCs w:val="22"/>
      </w:rPr>
      <w:t xml:space="preserve">The baseline yields Y_base used in the model are derived from the following data sources:</w:t>
    </w:r>
    <w:p>
      <w:pPr>
        <w:pStyle w:val="Heading3"/>
        <w:spacing w:after="80" w:before="200"/>
      </w:pPr>
      <w:r>
        <w:rPr>
          <w:rFonts w:ascii="Arial" w:cs="Arial" w:eastAsia="Arial" w:hAnsi="Arial"/>
          <w:b/>
          <w:bCs/>
          <w:color w:val="2563A8"/>
          <w:sz w:val="24"/>
          <w:szCs w:val="24"/>
        </w:rPr>
        <w:t xml:space="preserve">3.4.1 Baseline Yield Data Sources</w:t>
      </w:r>
    </w:p>
    <w:r>
      <w:rPr>
        <w:rFonts w:ascii="Arial" w:cs="Arial" w:eastAsia="Arial" w:hAnsi="Arial"/>
        <w:b/>
        <w:bCs/>
        <w:sz w:val="22"/>
        <w:szCs w:val="22"/>
      </w:rPr>
      <w:t xml:space="preserve">Hydroponic yield data (lettuce, spinach, basil, kale):</w:t>
    </w:r>
    <w:r>
      <w:rPr>
        <w:rFonts w:ascii="Arial" w:cs="Arial" w:eastAsia="Arial" w:hAnsi="Arial"/>
        <w:sz w:val="22"/>
        <w:szCs w:val="22"/>
      </w:rPr>
      <w:t xml:space="preserve"> The baseline values are drawn from the meta-analysis by Touliatos et al. (2016), which compiled yield results across 42 hydroponic studies worldwide. Lettuce yields of 4.0–5.5 kg/m²/month are consistently reported under controlled LED lighting at 30 klux and EC of 1.8–2.2 mS/cm at 22°C. The simulation uses 4.8 kg/m²/month as the lettuce baseline, representing the median of this distribution.</w:t>
    </w:r>
    <w:r>
      <w:rPr>
        <w:rFonts w:ascii="Arial" w:cs="Arial" w:eastAsia="Arial" w:hAnsi="Arial"/>
        <w:b/>
        <w:bCs/>
        <w:sz w:val="22"/>
        <w:szCs w:val="22"/>
      </w:rPr>
      <w:t xml:space="preserve">Tomato yield data:</w:t>
    </w:r>
    <w:r>
      <w:rPr>
        <w:rFonts w:ascii="Arial" w:cs="Arial" w:eastAsia="Arial" w:hAnsi="Arial"/>
        <w:sz w:val="22"/>
        <w:szCs w:val="22"/>
      </w:rPr>
      <w:t xml:space="preserve"> Tomato yields under hydroponic NFT conditions are lower per floor area due to the vertical canopy structure. The value of 3.6 kg/m²/month is based on Hao &amp; Papadopoulos (2004) reporting 3.2–4.1 kg/m²/month in greenhouse NFT systems.</w:t>
    </w:r>
    <w:r>
      <w:rPr>
        <w:rFonts w:ascii="Arial" w:cs="Arial" w:eastAsia="Arial" w:hAnsi="Arial"/>
        <w:b/>
        <w:bCs/>
        <w:sz w:val="22"/>
        <w:szCs w:val="22"/>
      </w:rPr>
      <w:t xml:space="preserve">Aquaponics correction factor:</w:t>
    </w:r>
    <w:r>
      <w:rPr>
        <w:rFonts w:ascii="Arial" w:cs="Arial" w:eastAsia="Arial" w:hAnsi="Arial"/>
        <w:sz w:val="22"/>
        <w:szCs w:val="22"/>
      </w:rPr>
      <w:t xml:space="preserve"> In an integrated aquaponics system (vs. pure hydroponics), yields are typically 5–15% lower due to suboptimal nutrient ratios and competition between fish-tank bacteria and plant roots for dissolved oxygen. The model implicitly captures this through the DO and ammonia stress factors, which are under greater pressure in aquaponics than in standalone hydroponics.</w:t>
    </w:r>
    <w:r>
      <w:rPr>
        <w:rFonts w:ascii="Arial" w:cs="Arial" w:eastAsia="Arial" w:hAnsi="Arial"/>
        <w:b/>
        <w:bCs/>
        <w:sz w:val="22"/>
        <w:szCs w:val="22"/>
      </w:rPr>
      <w:t xml:space="preserve">Tilapia biomass gain:</w:t>
    </w:r>
    <w:r>
      <w:rPr>
        <w:rFonts w:ascii="Arial" w:cs="Arial" w:eastAsia="Arial" w:hAnsi="Arial"/>
        <w:sz w:val="22"/>
        <w:szCs w:val="22"/>
      </w:rPr>
      <w:t xml:space="preserve"> The tilapia biomass gain figure of 2.7 kg/m²/month is derived from the global aquaponics profitability survey by Love et al. (2015), which found commercial farms achieved feed conversion ratios of 1.2–1.7 kg feed per kg fish, with stocking densities of 20–30 kg/m³ and monthly turnover rates of approximately 8–12%.</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Crop</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Y_base (kg/m²/mo)</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source</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Study conditions</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Lettuce</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4.8</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Touliatos et al. (2016)</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NFT, LED 30 klux, 22°C, EC 2.0</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Spinach</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4.3</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Touliatos et al. (2016)</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NFT, LED 28 klux, 20°C, EC 1.8</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Basil</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4.6</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Touliatos et al. (2016)</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DWC, LED 35 klux, 24°C, EC 1.6</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Kale</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4.0</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Touliatos et al. (2016)</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NFT, LED 30 klux, 21°C, EC 2.2</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Tomato</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3.6</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Hao &amp; Papadopoulos (2004)</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NFT greenhouse, 22°C, EC 3.5</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Tilapia</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2.7</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Love et al. (2015)</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Recirculating system, 27°C, stocking 25 kg/m³</w:t>
            </w:r>
          </w:p>
        </w:tc>
      </w:tr>
    </w:tbl>
    <w:p>
      <w:pPr>
        <w:pStyle w:val="Heading2"/>
        <w:spacing w:after="120" w:before="280"/>
      </w:pPr>
      <w:r>
        <w:rPr>
          <w:rFonts w:ascii="Arial" w:cs="Arial" w:eastAsia="Arial" w:hAnsi="Arial"/>
          <w:b/>
          <w:bCs/>
          <w:color w:val="0F6E56"/>
          <w:sz w:val="28"/>
          <w:szCs w:val="28"/>
        </w:rPr>
        <w:t xml:space="preserve">3.5 Harvest Cycle Estimation</w:t>
      </w:r>
    </w:p>
    <w:r>
      <w:rPr>
        <w:rFonts w:ascii="Arial" w:cs="Arial" w:eastAsia="Arial" w:hAnsi="Arial"/>
        <w:sz w:val="22"/>
        <w:szCs w:val="22"/>
      </w:rPr>
      <w:t xml:space="preserve">The estimated harvest cycle in days is derived from the baseline harvest time under optimal conditions (28 days for lettuce) scaled inversely by the growth index:</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t_harvest = t_optimal / GI</w:t>
            </w:r>
          </w:p>
        </w:tc>
      </w:tr>
    </w:tbl>
    <w:p>
      <w:pPr>
        <w:spacing w:after="100" w:before="60"/>
        <w:ind w:left="240"/>
      </w:pPr>
      <w:r>
        <w:rPr>
          <w:rFonts w:ascii="Arial" w:cs="Arial" w:eastAsia="Arial" w:hAnsi="Arial"/>
          <w:i/>
          <w:iCs/>
          <w:color w:val="555555"/>
          <w:sz w:val="20"/>
          <w:szCs w:val="20"/>
        </w:rPr>
        <w:t xml:space="preserve">For lettuce: t_optimal = 28 days. At GI = 0.85, harvest is predicted at 28/0.85 ≈ 33 days.</w:t>
      </w:r>
    </w:p>
    <w:r>
      <w:rPr>
        <w:rFonts w:ascii="Arial" w:cs="Arial" w:eastAsia="Arial" w:hAnsi="Arial"/>
        <w:sz w:val="22"/>
        <w:szCs w:val="22"/>
      </w:rPr>
      <w:t xml:space="preserve">This model is consistent with the observed relationship in hydroponic lettuce production, where sub-optimal temperatures between 18–20°C (instead of 22–24°C) extended time-to-harvest by approximately 15–20%, equivalent to a temperature stress factor of ~0.83.</w:t>
    </w:r>
    <w:p>
      <w:pPr>
        <w:pStyle w:val="Heading2"/>
        <w:spacing w:after="120" w:before="280"/>
      </w:pPr>
      <w:r>
        <w:rPr>
          <w:rFonts w:ascii="Arial" w:cs="Arial" w:eastAsia="Arial" w:hAnsi="Arial"/>
          <w:b/>
          <w:bCs/>
          <w:color w:val="0F6E56"/>
          <w:sz w:val="28"/>
          <w:szCs w:val="28"/>
        </w:rPr>
        <w:t xml:space="preserve">3.6 Logistic Plant Biomass Growth Model</w:t>
      </w:r>
    </w:p>
    <w:r>
      <w:rPr>
        <w:rFonts w:ascii="Arial" w:cs="Arial" w:eastAsia="Arial" w:hAnsi="Arial"/>
        <w:sz w:val="22"/>
        <w:szCs w:val="22"/>
      </w:rPr>
      <w:t xml:space="preserve">For time-series biomass prediction, the simulation uses the Verhulst logistic growth model, which captures the sigmoidal growth curve observed in real plant biomass data:</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dP/dt = r · GI · P · (1 − P/K)</w:t>
            </w:r>
          </w:p>
        </w:tc>
      </w:tr>
    </w:tbl>
    <w:p>
      <w:pPr>
        <w:spacing w:after="100" w:before="60"/>
        <w:ind w:left="240"/>
      </w:pPr>
      <w:r>
        <w:rPr>
          <w:rFonts w:ascii="Arial" w:cs="Arial" w:eastAsia="Arial" w:hAnsi="Arial"/>
          <w:i/>
          <w:iCs/>
          <w:color w:val="555555"/>
          <w:sz w:val="20"/>
          <w:szCs w:val="20"/>
        </w:rPr>
        <w:t xml:space="preserve">where P is plant biomass (g), r = 0.04 /day is the maximum intrinsic growth rate, K = 800 g is the carrying capacity (limited by light and root volume), and GI modulates the effective growth rate.</w:t>
      </w:r>
    </w:p>
    <w:r>
      <w:rPr>
        <w:rFonts w:ascii="Arial" w:cs="Arial" w:eastAsia="Arial" w:hAnsi="Arial"/>
        <w:sz w:val="22"/>
        <w:szCs w:val="22"/>
      </w:rPr>
      <w:t xml:space="preserve">The logistic model produces three regimes that match observed plant behaviour: an initial exponential phase when P &lt;&lt; K (seedling establishment), a linear growth phase at P ≈ K/2 (vegetative growth), and a plateau as P → K (canopy closure). The model is integrated numerically using scipy.integrate.odeint with the Dormand-Prince RK45 adaptive step-size solver.</w:t>
    </w:r>
    <w:p>
      <w:pPr>
        <w:spacing w:after="0" w:before="0"/>
      </w:pPr>
      <w:r>
        <w:br/>
      </w:r>
    </w:p>
    <w:p>
      <w:pPr>
        <w:pStyle w:val="Heading1"/>
        <w:pBdr>
          <w:bottom w:val="single" w:color="1B3A6B" w:sz="6" w:space="4"/>
        </w:pBdr>
        <w:spacing w:after="160" w:before="360"/>
      </w:pPr>
      <w:r>
        <w:rPr>
          <w:rFonts w:ascii="Arial" w:cs="Arial" w:eastAsia="Arial" w:hAnsi="Arial"/>
          <w:b/>
          <w:bCs/>
          <w:color w:val="1B3A6B"/>
          <w:sz w:val="36"/>
          <w:szCs w:val="36"/>
        </w:rPr>
        <w:t xml:space="preserve">4. Nitrogen Cycle — ODE System</w:t>
      </w:r>
    </w:p>
    <w:r>
      <w:rPr>
        <w:rFonts w:ascii="Arial" w:cs="Arial" w:eastAsia="Arial" w:hAnsi="Arial"/>
        <w:sz w:val="22"/>
        <w:szCs w:val="22"/>
      </w:rPr>
      <w:t xml:space="preserve">The nitrogen cycle in the aquaponics system is modelled as a three-compartment coupled ODE system representing the sequential bacterial transformation of fish metabolic waste into plant-available nitrate.</w:t>
    </w:r>
    <w:p>
      <w:pPr>
        <w:pStyle w:val="Heading2"/>
        <w:spacing w:after="120" w:before="280"/>
      </w:pPr>
      <w:r>
        <w:rPr>
          <w:rFonts w:ascii="Arial" w:cs="Arial" w:eastAsia="Arial" w:hAnsi="Arial"/>
          <w:b/>
          <w:bCs/>
          <w:color w:val="0F6E56"/>
          <w:sz w:val="28"/>
          <w:szCs w:val="28"/>
        </w:rPr>
        <w:t xml:space="preserve">4.1 Biological Basis</w:t>
      </w:r>
    </w:p>
    <w:r>
      <w:rPr>
        <w:rFonts w:ascii="Arial" w:cs="Arial" w:eastAsia="Arial" w:hAnsi="Arial"/>
        <w:sz w:val="22"/>
        <w:szCs w:val="22"/>
      </w:rPr>
      <w:t xml:space="preserve">Fish excrete nitrogen primarily as ammonia (NH₃/NH₄⁺) through gill diffusion and urine. In the biofilter, two bacterial genera are responsible for nitrification:</w:t>
    </w:r>
    <w:p>
      <w:pPr>
        <w:pStyle w:val="ListParagraph"/>
        <w:numPr>
          <w:ilvl w:val="0"/>
          <w:numId w:val="2"/>
        </w:numPr>
        <w:spacing w:after="40" w:before="40"/>
      </w:pPr>
      <w:r>
        <w:rPr>
          <w:rFonts w:ascii="Arial" w:cs="Arial" w:eastAsia="Arial" w:hAnsi="Arial"/>
          <w:b/>
          <w:bCs/>
          <w:sz w:val="22"/>
          <w:szCs w:val="22"/>
        </w:rPr>
        <w:t xml:space="preserve">Nitrosomonas sp.: </w:t>
      </w:r>
      <w:r>
        <w:rPr>
          <w:rFonts w:ascii="Arial" w:cs="Arial" w:eastAsia="Arial" w:hAnsi="Arial"/>
          <w:sz w:val="22"/>
          <w:szCs w:val="22"/>
        </w:rPr>
        <w:t xml:space="preserve">Oxidise ammonium to nitrite: NH₄⁺ + 1.5O₂ → NO₂⁻ + H₂O + 2H⁺</w:t>
      </w:r>
    </w:p>
    <w:p>
      <w:pPr>
        <w:pStyle w:val="ListParagraph"/>
        <w:numPr>
          <w:ilvl w:val="0"/>
          <w:numId w:val="2"/>
        </w:numPr>
        <w:spacing w:after="40" w:before="40"/>
      </w:pPr>
      <w:r>
        <w:rPr>
          <w:rFonts w:ascii="Arial" w:cs="Arial" w:eastAsia="Arial" w:hAnsi="Arial"/>
          <w:b/>
          <w:bCs/>
          <w:sz w:val="22"/>
          <w:szCs w:val="22"/>
        </w:rPr>
        <w:t xml:space="preserve">Nitrobacter sp.: </w:t>
      </w:r>
      <w:r>
        <w:rPr>
          <w:rFonts w:ascii="Arial" w:cs="Arial" w:eastAsia="Arial" w:hAnsi="Arial"/>
          <w:sz w:val="22"/>
          <w:szCs w:val="22"/>
        </w:rPr>
        <w:t xml:space="preserve">Oxidise nitrite to nitrate: NO₂⁻ + 0.5O₂ → NO₃⁻</w:t>
      </w:r>
    </w:p>
    <w:r>
      <w:rPr>
        <w:rFonts w:ascii="Arial" w:cs="Arial" w:eastAsia="Arial" w:hAnsi="Arial"/>
        <w:sz w:val="22"/>
        <w:szCs w:val="22"/>
      </w:rPr>
      <w:t xml:space="preserve">Nitrate is then absorbed by plant roots in the grow beds, completing the nitrogen recycling loop.</w:t>
    </w:r>
    <w:p>
      <w:pPr>
        <w:pStyle w:val="Heading2"/>
        <w:spacing w:after="120" w:before="280"/>
      </w:pPr>
      <w:r>
        <w:rPr>
          <w:rFonts w:ascii="Arial" w:cs="Arial" w:eastAsia="Arial" w:hAnsi="Arial"/>
          <w:b/>
          <w:bCs/>
          <w:color w:val="0F6E56"/>
          <w:sz w:val="28"/>
          <w:szCs w:val="28"/>
        </w:rPr>
        <w:t xml:space="preserve">4.2 ODE Formulation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d[NH₄]/dt = F_excretion − k₁ · [NH₄]</w:t>
            </w:r>
          </w:p>
        </w:tc>
      </w:tr>
    </w:tbl>
    <w:p>
      <w:pPr>
        <w:spacing w:after="100" w:before="60"/>
        <w:ind w:left="240"/>
      </w:pPr>
      <w:r>
        <w:rPr>
          <w:rFonts w:ascii="Arial" w:cs="Arial" w:eastAsia="Arial" w:hAnsi="Arial"/>
          <w:i/>
          <w:iCs/>
          <w:color w:val="555555"/>
          <w:sz w:val="20"/>
          <w:szCs w:val="20"/>
        </w:rPr>
        <w:t xml:space="preserve">Fish excretion rate F = 0.015 × fish_biomass_kg (mg/L/h). k₁ = 0.08 /h is the Nitrosomonas activity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d[NO₂]/dt = k₁ · [NH₄] − k₂ · [NO₂]</w:t>
            </w:r>
          </w:p>
        </w:tc>
      </w:tr>
    </w:tbl>
    <w:p>
      <w:pPr>
        <w:spacing w:after="100" w:before="60"/>
        <w:ind w:left="240"/>
      </w:pPr>
      <w:r>
        <w:rPr>
          <w:rFonts w:ascii="Arial" w:cs="Arial" w:eastAsia="Arial" w:hAnsi="Arial"/>
          <w:i/>
          <w:iCs/>
          <w:color w:val="555555"/>
          <w:sz w:val="20"/>
          <w:szCs w:val="20"/>
        </w:rPr>
        <w:t xml:space="preserve">k₂ = 0.12 /h is the Nitrobacter activity rate (faster than k₁, so NO₂ does not accumulate at steady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d[NO₃]/dt = k₂ · [NO₂] − k₃ · [NO₃] · GI</w:t>
            </w:r>
          </w:p>
        </w:tc>
      </w:tr>
    </w:tbl>
    <w:p>
      <w:pPr>
        <w:spacing w:after="100" w:before="60"/>
        <w:ind w:left="240"/>
      </w:pPr>
      <w:r>
        <w:rPr>
          <w:rFonts w:ascii="Arial" w:cs="Arial" w:eastAsia="Arial" w:hAnsi="Arial"/>
          <w:i/>
          <w:iCs/>
          <w:color w:val="555555"/>
          <w:sz w:val="20"/>
          <w:szCs w:val="20"/>
        </w:rPr>
        <w:t xml:space="preserve">k₃ = 0.04 /h is the plant uptake rate, modulated by GI so stressed plants uptake less nitrogen.</w:t>
      </w:r>
    </w:p>
    <w:r>
      <w:rPr>
        <w:rFonts w:ascii="Arial" w:cs="Arial" w:eastAsia="Arial" w:hAnsi="Arial"/>
        <w:sz w:val="22"/>
        <w:szCs w:val="22"/>
      </w:rPr>
      <w:t xml:space="preserve">The rate constants k₁, k₂, k₃ are calibrated from the experimental data reported by Rakocy et al. (2006) for recirculating aquaponics systems running tilapia and lettuce, and cross-validated against the Smart Aquaponics 4.0 dataset from Chandramenon et al. (2024).</w:t>
    </w:r>
    <w:p>
      <w:pPr>
        <w:pStyle w:val="Heading2"/>
        <w:spacing w:after="120" w:before="280"/>
      </w:pPr>
      <w:r>
        <w:rPr>
          <w:rFonts w:ascii="Arial" w:cs="Arial" w:eastAsia="Arial" w:hAnsi="Arial"/>
          <w:b/>
          <w:bCs/>
          <w:color w:val="0F6E56"/>
          <w:sz w:val="28"/>
          <w:szCs w:val="28"/>
        </w:rPr>
        <w:t xml:space="preserve">4.3 Steady-State Analysis</w:t>
      </w:r>
    </w:p>
    <w:r>
      <w:rPr>
        <w:rFonts w:ascii="Arial" w:cs="Arial" w:eastAsia="Arial" w:hAnsi="Arial"/>
        <w:sz w:val="22"/>
        <w:szCs w:val="22"/>
      </w:rPr>
      <w:t xml:space="preserve">At steady state (all derivatives = 0), the equilibrium concentrations are:</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[NH₄]_eq = F_excretion / k₁</w:t>
            </w:r>
          </w:p>
        </w:tc>
      </w:tr>
    </w:tbl>
    <w:p>
      <w:pPr>
        <w:spacing w:after="100" w:before="60"/>
        <w:ind w:left="240"/>
      </w:pPr>
      <w:r>
        <w:rPr>
          <w:rFonts w:ascii="Arial" w:cs="Arial" w:eastAsia="Arial" w:hAnsi="Arial"/>
          <w:i/>
          <w:iCs/>
          <w:color w:val="555555"/>
          <w:sz w:val="20"/>
          <w:szCs w:val="20"/>
        </w:rPr>
        <w:t xml:space="preserve">For 5 kg fish: [NH₄]_eq = (5×0.015)/0.08 ≈ 0.94 ppm  (safe threshold &lt; 1 ppm)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[NO₂]_eq = k₁·[NH₄]_eq / k₂</w:t>
            </w:r>
          </w:p>
        </w:tc>
      </w:tr>
    </w:tbl>
    <w:p>
      <w:pPr>
        <w:spacing w:after="100" w:before="60"/>
        <w:ind w:left="240"/>
      </w:pPr>
      <w:r>
        <w:rPr>
          <w:rFonts w:ascii="Arial" w:cs="Arial" w:eastAsia="Arial" w:hAnsi="Arial"/>
          <w:i/>
          <w:iCs/>
          <w:color w:val="555555"/>
          <w:sz w:val="20"/>
          <w:szCs w:val="20"/>
        </w:rPr>
        <w:t xml:space="preserve">≈ 0.062 ppm  (safe threshold &lt; 0.5 ppm)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[NO₃]_eq = k₂·[NO₂]_eq / (k₃·GI)</w:t>
            </w:r>
          </w:p>
        </w:tc>
      </w:tr>
    </w:tbl>
    <w:p>
      <w:pPr>
        <w:spacing w:after="100" w:before="60"/>
        <w:ind w:left="240"/>
      </w:pPr>
      <w:r>
        <w:rPr>
          <w:rFonts w:ascii="Arial" w:cs="Arial" w:eastAsia="Arial" w:hAnsi="Arial"/>
          <w:i/>
          <w:iCs/>
          <w:color w:val="555555"/>
          <w:sz w:val="20"/>
          <w:szCs w:val="20"/>
        </w:rPr>
        <w:t xml:space="preserve">≈ 18.5 ppm at GI=1  (within plant optimal range 5–150 ppm)</w:t>
      </w:r>
    </w:p>
    <w:r>
      <w:rPr>
        <w:rFonts w:ascii="Arial" w:cs="Arial" w:eastAsia="Arial" w:hAnsi="Arial"/>
        <w:sz w:val="22"/>
        <w:szCs w:val="22"/>
      </w:rPr>
      <w:t xml:space="preserve">These equilibrium values confirm that the model is properly calibrated — the steady-state ammonia of 0.94 ppm is safely below the fish toxicity threshold of ~1.5 ppm for tilapia, and the nitrate level is within the optimal range for lettuce cultivation.</w:t>
    </w:r>
    <w:p>
      <w:pPr>
        <w:spacing w:after="0" w:before="0"/>
      </w:pPr>
      <w:r>
        <w:br/>
      </w:r>
    </w:p>
    <w:p>
      <w:pPr>
        <w:pStyle w:val="Heading1"/>
        <w:pBdr>
          <w:bottom w:val="single" w:color="1B3A6B" w:sz="6" w:space="4"/>
        </w:pBdr>
        <w:spacing w:after="160" w:before="360"/>
      </w:pPr>
      <w:r>
        <w:rPr>
          <w:rFonts w:ascii="Arial" w:cs="Arial" w:eastAsia="Arial" w:hAnsi="Arial"/>
          <w:b/>
          <w:bCs/>
          <w:color w:val="1B3A6B"/>
          <w:sz w:val="36"/>
          <w:szCs w:val="36"/>
        </w:rPr>
        <w:t xml:space="preserve">5. Sensitivity Analysis and Monte Carlo Simulation</w:t>
      </w:r>
    </w:p>
    <w:p>
      <w:pPr>
        <w:pStyle w:val="Heading2"/>
        <w:spacing w:after="120" w:before="280"/>
      </w:pPr>
      <w:r>
        <w:rPr>
          <w:rFonts w:ascii="Arial" w:cs="Arial" w:eastAsia="Arial" w:hAnsi="Arial"/>
          <w:b/>
          <w:bCs/>
          <w:color w:val="0F6E56"/>
          <w:sz w:val="28"/>
          <w:szCs w:val="28"/>
        </w:rPr>
        <w:t xml:space="preserve">5.1 Tornado Chart — Local Sensitivity</w:t>
      </w:r>
    </w:p>
    <w:r>
      <w:rPr>
        <w:rFonts w:ascii="Arial" w:cs="Arial" w:eastAsia="Arial" w:hAnsi="Arial"/>
        <w:sz w:val="22"/>
        <w:szCs w:val="22"/>
      </w:rPr>
      <w:t xml:space="preserve">The tornado chart performs a one-at-a-time (OAT) local sensitivity analysis. Each parameter is varied by ±15% from its current value while all other parameters are held constant. The resulting percentage change in yield is:</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ΔY% = [Y(x × 1.15) − Y(x)] / Y(x) × 100</w:t>
            </w:r>
          </w:p>
        </w:tc>
      </w:tr>
    </w:tbl>
    <w:p>
      <w:pPr>
        <w:spacing w:after="100" w:before="60"/>
        <w:ind w:left="240"/>
      </w:pPr>
      <w:r>
        <w:rPr>
          <w:rFonts w:ascii="Arial" w:cs="Arial" w:eastAsia="Arial" w:hAnsi="Arial"/>
          <w:i/>
          <w:iCs/>
          <w:color w:val="555555"/>
          <w:sz w:val="20"/>
          <w:szCs w:val="20"/>
        </w:rPr>
        <w:t xml:space="preserve">Computed independently for each parameter to identify the most influential control variable.</w:t>
      </w:r>
    </w:p>
    <w:r>
      <w:rPr>
        <w:rFonts w:ascii="Arial" w:cs="Arial" w:eastAsia="Arial" w:hAnsi="Arial"/>
        <w:sz w:val="22"/>
        <w:szCs w:val="22"/>
      </w:rPr>
      <w:t xml:space="preserve">The tornado chart ranks parameters by their absolute impact range (high − low), placing the most influential parameters at the top. Based on the bell-curve model, pH and temperature consistently rank first and second because they lie at the steepest part of their respective response curves for typical aquaponics operating conditions.</w:t>
    </w:r>
    <w:p>
      <w:pPr>
        <w:pStyle w:val="Heading2"/>
        <w:spacing w:after="120" w:before="280"/>
      </w:pPr>
      <w:r>
        <w:rPr>
          <w:rFonts w:ascii="Arial" w:cs="Arial" w:eastAsia="Arial" w:hAnsi="Arial"/>
          <w:b/>
          <w:bCs/>
          <w:color w:val="0F6E56"/>
          <w:sz w:val="28"/>
          <w:szCs w:val="28"/>
        </w:rPr>
        <w:t xml:space="preserve">5.2 Monte Carlo Yield Distribution</w:t>
      </w:r>
    </w:p>
    <w:r>
      <w:rPr>
        <w:rFonts w:ascii="Arial" w:cs="Arial" w:eastAsia="Arial" w:hAnsi="Arial"/>
        <w:sz w:val="22"/>
        <w:szCs w:val="22"/>
      </w:rPr>
      <w:t xml:space="preserve">The Monte Carlo simulation samples all eight parameters simultaneously from independent Gaussian distributions centred on the current operating point, then computes the resulting yield distribution. For parameter x with current value x₀:</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x_sampled ~ N(x₀, (noise_scale · x₀)²)</w:t>
            </w:r>
          </w:p>
        </w:tc>
      </w:tr>
    </w:tbl>
    <w:p>
      <w:pPr>
        <w:spacing w:after="100" w:before="60"/>
        <w:ind w:left="240"/>
      </w:pPr>
      <w:r>
        <w:rPr>
          <w:rFonts w:ascii="Arial" w:cs="Arial" w:eastAsia="Arial" w:hAnsi="Arial"/>
          <w:i/>
          <w:iCs/>
          <w:color w:val="555555"/>
          <w:sz w:val="20"/>
          <w:szCs w:val="20"/>
        </w:rPr>
        <w:t xml:space="preserve">Default noise_scale = 0.10 (10% coefficient of variation). 1000 samples are drawn per run.</w:t>
      </w:r>
    </w:p>
    <w:r>
      <w:rPr>
        <w:rFonts w:ascii="Arial" w:cs="Arial" w:eastAsia="Arial" w:hAnsi="Arial"/>
        <w:sz w:val="22"/>
        <w:szCs w:val="22"/>
      </w:rPr>
      <w:t xml:space="preserve">The resulting yield distribution characterises the yield uncertainty that arises from natural process variation and measurement error. The 5th and 95th percentiles of this distribution represent the likely worst- and best-case production outcomes under current operating conditions. The distribution is typically right-skewed because the Gaussian bell-curve stress factors truncate yield from above (yield cannot exceed Y_base) but have a long lower tail when parameters drift far from optimal.</w:t>
    </w:r>
    <w:p>
      <w:pPr>
        <w:spacing w:after="0" w:before="0"/>
      </w:pPr>
      <w:r>
        <w:br/>
      </w:r>
    </w:p>
    <w:p>
      <w:pPr>
        <w:pStyle w:val="Heading1"/>
        <w:pBdr>
          <w:bottom w:val="single" w:color="1B3A6B" w:sz="6" w:space="4"/>
        </w:pBdr>
        <w:spacing w:after="160" w:before="360"/>
      </w:pPr>
      <w:r>
        <w:rPr>
          <w:rFonts w:ascii="Arial" w:cs="Arial" w:eastAsia="Arial" w:hAnsi="Arial"/>
          <w:b/>
          <w:bCs/>
          <w:color w:val="1B3A6B"/>
          <w:sz w:val="36"/>
          <w:szCs w:val="36"/>
        </w:rPr>
        <w:t xml:space="preserve">6. Live Simulation Dashboard — Detailed Description</w:t>
      </w:r>
    </w:p>
    <w:r>
      <w:rPr>
        <w:rFonts w:ascii="Arial" w:cs="Arial" w:eastAsia="Arial" w:hAnsi="Arial"/>
        <w:sz w:val="22"/>
        <w:szCs w:val="22"/>
      </w:rPr>
      <w:t xml:space="preserve">The dashboard is built using CustomTkinter (a modern themed wrapper for Python's Tkinter) and Matplotlib embedded canvases. It comprises eight tabs, each providing a different analytical view of the aquaponics system. This section provides a complete walkthrough of every panel, its data source, and the interpretation of its visual elements.</w:t>
    </w:r>
    <w:p>
      <w:pPr>
        <w:pStyle w:val="Heading2"/>
        <w:spacing w:after="120" w:before="280"/>
      </w:pPr>
      <w:r>
        <w:rPr>
          <w:rFonts w:ascii="Arial" w:cs="Arial" w:eastAsia="Arial" w:hAnsi="Arial"/>
          <w:b/>
          <w:bCs/>
          <w:color w:val="0F6E56"/>
          <w:sz w:val="28"/>
          <w:szCs w:val="28"/>
        </w:rPr>
        <w:t xml:space="preserve">6.1 Tab 1 — Yield Study</w:t>
      </w:r>
    </w:p>
    <w:r>
      <w:rPr>
        <w:rFonts w:ascii="Arial" w:cs="Arial" w:eastAsia="Arial" w:hAnsi="Arial"/>
        <w:sz w:val="22"/>
        <w:szCs w:val="22"/>
      </w:rPr>
      <w:t xml:space="preserve">The Yield Study tab is the primary control interface for the simulation. It allows the user to vary all environmental parameters interactively and observe the immediate impact on crop yield, growth index, and harvest time.</w:t>
    </w:r>
    <w:p>
      <w:pPr>
        <w:pStyle w:val="Heading3"/>
        <w:spacing w:after="80" w:before="200"/>
      </w:pPr>
      <w:r>
        <w:rPr>
          <w:rFonts w:ascii="Arial" w:cs="Arial" w:eastAsia="Arial" w:hAnsi="Arial"/>
          <w:b/>
          <w:bCs/>
          <w:color w:val="2563A8"/>
          <w:sz w:val="24"/>
          <w:szCs w:val="24"/>
        </w:rPr>
        <w:t xml:space="preserve">6.1.1 Control panel (left side — sliders)</w:t>
      </w:r>
    </w:p>
    <w:r>
      <w:rPr>
        <w:rFonts w:ascii="Arial" w:cs="Arial" w:eastAsia="Arial" w:hAnsi="Arial"/>
        <w:sz w:val="22"/>
        <w:szCs w:val="22"/>
      </w:rPr>
      <w:t xml:space="preserve">Eight sliders allow independent adjustment of: Temperature (15–40°C), pH (5.0–9.0), EC (0.5–4.0 mS/cm), Dissolved Oxygen (2–12 mg/L), Light (5–65 klux), CO₂ (400–1500 ppm), Ammonia (0–2 ppm), and Turbidity (0–200 NTU). Every slider movement instantly recomputes all four plots and the three metric cards using the stress-factor and yield equations described in Section 3.</w:t>
    </w:r>
    <w:p>
      <w:pPr>
        <w:pStyle w:val="Heading3"/>
        <w:spacing w:after="80" w:before="200"/>
      </w:pPr>
      <w:r>
        <w:rPr>
          <w:rFonts w:ascii="Arial" w:cs="Arial" w:eastAsia="Arial" w:hAnsi="Arial"/>
          <w:b/>
          <w:bCs/>
          <w:color w:val="2563A8"/>
          <w:sz w:val="24"/>
          <w:szCs w:val="24"/>
        </w:rPr>
        <w:t xml:space="preserve">6.1.2 Metric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 card</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Formula</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Unit</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Yield</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Y_base × GI</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kg/m²/mo</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Expected monthly crop production per square metre</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Growth index</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geometric mean of 8 SF values</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0–1</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1.0 = all conditions optimal; &lt; 0.5 = significant stress</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Harvest days</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28 / GI</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days</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Estimated time from transplant to harvest</w:t>
            </w:r>
          </w:p>
        </w:tc>
      </w:tr>
    </w:tbl>
    <w:p>
      <w:pPr>
        <w:pStyle w:val="Heading3"/>
        <w:spacing w:after="80" w:before="200"/>
      </w:pPr>
      <w:r>
        <w:rPr>
          <w:rFonts w:ascii="Arial" w:cs="Arial" w:eastAsia="Arial" w:hAnsi="Arial"/>
          <w:b/>
          <w:bCs/>
          <w:color w:val="2563A8"/>
          <w:sz w:val="24"/>
          <w:szCs w:val="24"/>
        </w:rPr>
        <w:t xml:space="preserve">6.1.3 Crop yield comparison bar chart (top left plot)</w:t>
      </w:r>
    </w:p>
    <w:r>
      <w:rPr>
        <w:rFonts w:ascii="Arial" w:cs="Arial" w:eastAsia="Arial" w:hAnsi="Arial"/>
        <w:sz w:val="22"/>
        <w:szCs w:val="22"/>
      </w:rPr>
      <w:t xml:space="preserve">Two grouped bars are drawn for each of the six crops. The blue bars show the yield under the current slider settings (Y_base × GI). The grey bars show the optimal baseline yield (Y_base). The ratio of the two bars is numerically equal to the Growth Index, providing an intuitive visual confirmation of the scalar GI metric. The chart updates on every slider movement.</w:t>
    </w:r>
    <w:p>
      <w:pPr>
        <w:pStyle w:val="Heading3"/>
        <w:spacing w:after="80" w:before="200"/>
      </w:pPr>
      <w:r>
        <w:rPr>
          <w:rFonts w:ascii="Arial" w:cs="Arial" w:eastAsia="Arial" w:hAnsi="Arial"/>
          <w:b/>
          <w:bCs/>
          <w:color w:val="2563A8"/>
          <w:sz w:val="24"/>
          <w:szCs w:val="24"/>
        </w:rPr>
        <w:t xml:space="preserve">6.1.4 Temperature sweep curve (top right plot)</w:t>
      </w:r>
    </w:p>
    <w:r>
      <w:rPr>
        <w:rFonts w:ascii="Arial" w:cs="Arial" w:eastAsia="Arial" w:hAnsi="Arial"/>
        <w:sz w:val="22"/>
        <w:szCs w:val="22"/>
      </w:rPr>
      <w:t xml:space="preserve">Temperature is swept from 15°C to 40°C in 60 steps while all other parameters are held at their current slider values. The yield at each temperature is computed from the Gaussian bell curve model. A vertical dashed red line marks the current temperature setting. This chart allows the user to see how close the current temperature is to the optimal and how rapidly yield would fall if temperature drifted further.</w:t>
    </w:r>
    <w:p>
      <w:pPr>
        <w:pStyle w:val="Heading3"/>
        <w:spacing w:after="80" w:before="200"/>
      </w:pPr>
      <w:r>
        <w:rPr>
          <w:rFonts w:ascii="Arial" w:cs="Arial" w:eastAsia="Arial" w:hAnsi="Arial"/>
          <w:b/>
          <w:bCs/>
          <w:color w:val="2563A8"/>
          <w:sz w:val="24"/>
          <w:szCs w:val="24"/>
        </w:rPr>
        <w:t xml:space="preserve">6.1.5 Stress factor radar chart (bottom left plot)</w:t>
      </w:r>
    </w:p>
    <w:r>
      <w:rPr>
        <w:rFonts w:ascii="Arial" w:cs="Arial" w:eastAsia="Arial" w:hAnsi="Arial"/>
        <w:sz w:val="22"/>
        <w:szCs w:val="22"/>
      </w:rPr>
      <w:t xml:space="preserve">A hexagonal radar (spider) chart plots all six primary stress factors simultaneously on a normalised [0, 1] scale. The filled blue polygon shows the current state. A perfect hexagon filling the chart would represent GI = 1.0. The most visually contracted spoke identifies the current limiting factor — the Liebig minimum — which is the dominant constraint on yield.</w:t>
    </w:r>
    <w:p>
      <w:pPr>
        <w:pStyle w:val="Heading3"/>
        <w:spacing w:after="80" w:before="200"/>
      </w:pPr>
      <w:r>
        <w:rPr>
          <w:rFonts w:ascii="Arial" w:cs="Arial" w:eastAsia="Arial" w:hAnsi="Arial"/>
          <w:b/>
          <w:bCs/>
          <w:color w:val="2563A8"/>
          <w:sz w:val="24"/>
          <w:szCs w:val="24"/>
        </w:rPr>
        <w:t xml:space="preserve">6.1.6 Stress factor horizontal bar chart (bottom right plot)</w:t>
      </w:r>
    </w:p>
    <w:r>
      <w:rPr>
        <w:rFonts w:ascii="Arial" w:cs="Arial" w:eastAsia="Arial" w:hAnsi="Arial"/>
        <w:sz w:val="22"/>
        <w:szCs w:val="22"/>
      </w:rPr>
      <w:t xml:space="preserve">The same six stress factor values are plotted as horizontal bars colour-coded by severity: green (SF &gt; 0.75 — nominal), orange (0.5 &lt; SF ≤ 0.75 — caution), red (SF ≤ 0.5 — stress). A green dashed vertical line at 0.75 marks the nominal threshold. This view is more precise than the radar for reading exact values.</w:t>
    </w:r>
    <w:p>
      <w:pPr>
        <w:pStyle w:val="Heading2"/>
        <w:spacing w:after="120" w:before="280"/>
      </w:pPr>
      <w:r>
        <w:rPr>
          <w:rFonts w:ascii="Arial" w:cs="Arial" w:eastAsia="Arial" w:hAnsi="Arial"/>
          <w:b/>
          <w:bCs/>
          <w:color w:val="0F6E56"/>
          <w:sz w:val="28"/>
          <w:szCs w:val="28"/>
        </w:rPr>
        <w:t xml:space="preserve">6.2 Tab 2 — Sensor Noise</w:t>
      </w:r>
    </w:p>
    <w:r>
      <w:rPr>
        <w:rFonts w:ascii="Arial" w:cs="Arial" w:eastAsia="Arial" w:hAnsi="Arial"/>
        <w:sz w:val="22"/>
        <w:szCs w:val="22"/>
      </w:rPr>
      <w:t xml:space="preserve">The Sensor Noise tab visualises the complete sensor signal pipeline from raw noisy measurement through Kalman filtering and drift projection.</w:t>
    </w:r>
    <w:p>
      <w:pPr>
        <w:pStyle w:val="Heading3"/>
        <w:spacing w:after="80" w:before="200"/>
      </w:pPr>
      <w:r>
        <w:rPr>
          <w:rFonts w:ascii="Arial" w:cs="Arial" w:eastAsia="Arial" w:hAnsi="Arial"/>
          <w:b/>
          <w:bCs/>
          <w:color w:val="2563A8"/>
          <w:sz w:val="24"/>
          <w:szCs w:val="24"/>
        </w:rPr>
        <w:t xml:space="preserve">6.2.1 Sensor selector buttons</w:t>
      </w:r>
    </w:p>
    <w:r>
      <w:rPr>
        <w:rFonts w:ascii="Arial" w:cs="Arial" w:eastAsia="Arial" w:hAnsi="Arial"/>
        <w:sz w:val="22"/>
        <w:szCs w:val="22"/>
      </w:rPr>
      <w:t xml:space="preserve">Six buttons at the top select the active sensor (pH, temp_C, ec_mS, do_mg, turbidity, co2_ppm). A slider sets the simulation duration from 6 to 72 hours. Selecting a sensor immediately regenerates all four plots for that sensor using a fresh Monte Carlo draw of noise and spike events.</w:t>
    </w:r>
    <w:p>
      <w:pPr>
        <w:pStyle w:val="Heading3"/>
        <w:spacing w:after="80" w:before="200"/>
      </w:pPr>
      <w:r>
        <w:rPr>
          <w:rFonts w:ascii="Arial" w:cs="Arial" w:eastAsia="Arial" w:hAnsi="Arial"/>
          <w:b/>
          <w:bCs/>
          <w:color w:val="2563A8"/>
          <w:sz w:val="24"/>
          <w:szCs w:val="24"/>
        </w:rPr>
        <w:t xml:space="preserve">6.2.2 Raw vs filtered signal (top left)</w:t>
      </w:r>
    </w:p>
    <w:r>
      <w:rPr>
        <w:rFonts w:ascii="Arial" w:cs="Arial" w:eastAsia="Arial" w:hAnsi="Arial"/>
        <w:sz w:val="22"/>
        <w:szCs w:val="22"/>
      </w:rPr>
      <w:t xml:space="preserve">The thin red line shows the raw sensor output including noise and spikes — this is what the microcontroller ADC actually reads. The thick blue line shows the Kalman-filtered estimate. The gap between the two lines at any point represents the instantaneous measurement error. Spikes are clearly visible as brief sharp excursions of the red line away from the blue trend.</w:t>
    </w:r>
    <w:p>
      <w:pPr>
        <w:pStyle w:val="Heading3"/>
        <w:spacing w:after="80" w:before="200"/>
      </w:pPr>
      <w:r>
        <w:rPr>
          <w:rFonts w:ascii="Arial" w:cs="Arial" w:eastAsia="Arial" w:hAnsi="Arial"/>
          <w:b/>
          <w:bCs/>
          <w:color w:val="2563A8"/>
          <w:sz w:val="24"/>
          <w:szCs w:val="24"/>
        </w:rPr>
        <w:t xml:space="preserve">6.2.3 Residuals (top right)</w:t>
      </w:r>
    </w:p>
    <w:r>
      <w:rPr>
        <w:rFonts w:ascii="Arial" w:cs="Arial" w:eastAsia="Arial" w:hAnsi="Arial"/>
        <w:sz w:val="22"/>
        <w:szCs w:val="22"/>
      </w:rPr>
      <w:t xml:space="preserve">The residual at each point is defined as residual(t) = raw(t) − filtered(t). A perfect sensor with only white noise would produce residuals that are normally distributed with zero mean. The presence of drift causes the residuals to trend away from zero over time. Large isolated residuals indicate spike events that the Kalman filter has successfully attenuated.</w:t>
    </w:r>
    <w:p>
      <w:pPr>
        <w:pStyle w:val="Heading3"/>
        <w:spacing w:after="80" w:before="200"/>
      </w:pPr>
      <w:r>
        <w:rPr>
          <w:rFonts w:ascii="Arial" w:cs="Arial" w:eastAsia="Arial" w:hAnsi="Arial"/>
          <w:b/>
          <w:bCs/>
          <w:color w:val="2563A8"/>
          <w:sz w:val="24"/>
          <w:szCs w:val="24"/>
        </w:rPr>
        <w:t xml:space="preserve">6.2.4 Residual distribution histogram (bottom left)</w:t>
      </w:r>
    </w:p>
    <w:r>
      <w:rPr>
        <w:rFonts w:ascii="Arial" w:cs="Arial" w:eastAsia="Arial" w:hAnsi="Arial"/>
        <w:sz w:val="22"/>
        <w:szCs w:val="22"/>
      </w:rPr>
      <w:t xml:space="preserve">The histogram of all residuals over the simulation period reveals the combined noise distribution. A well-calibrated sensor should show a distribution close to N(0, σ²). Bias (non-zero mean) indicates systematic error or uncorrected drift. Heavy tails relative to a Gaussian indicate frequent spike events that require the Kalman filter's robustness.</w:t>
    </w:r>
    <w:p>
      <w:pPr>
        <w:pStyle w:val="Heading3"/>
        <w:spacing w:after="80" w:before="200"/>
      </w:pPr>
      <w:r>
        <w:rPr>
          <w:rFonts w:ascii="Arial" w:cs="Arial" w:eastAsia="Arial" w:hAnsi="Arial"/>
          <w:b/>
          <w:bCs/>
          <w:color w:val="2563A8"/>
          <w:sz w:val="24"/>
          <w:szCs w:val="24"/>
        </w:rPr>
        <w:t xml:space="preserve">6.2.5 Drift projection (bottom right)</w:t>
      </w:r>
    </w:p>
    <w:r>
      <w:rPr>
        <w:rFonts w:ascii="Arial" w:cs="Arial" w:eastAsia="Arial" w:hAnsi="Arial"/>
        <w:sz w:val="22"/>
        <w:szCs w:val="22"/>
      </w:rPr>
      <w:t xml:space="preserve">The final filtered sensor reading is extrapolated forward over 12 weeks, showing the expected drift trajectory. Orange circular markers indicate the projected weekly readings. The dashed grey horizontal line shows the baseline calibrated value. This plot is directly relevant to field deployment planning — it indicates when the sensor will need recalibration (typically when the drift exceeds ±2σ from the baseline).</w:t>
    </w:r>
    <w:p>
      <w:pPr>
        <w:pStyle w:val="Heading2"/>
        <w:spacing w:after="120" w:before="280"/>
      </w:pPr>
      <w:r>
        <w:rPr>
          <w:rFonts w:ascii="Arial" w:cs="Arial" w:eastAsia="Arial" w:hAnsi="Arial"/>
          <w:b/>
          <w:bCs/>
          <w:color w:val="0F6E56"/>
          <w:sz w:val="28"/>
          <w:szCs w:val="28"/>
        </w:rPr>
        <w:t xml:space="preserve">6.3 Tab 3 — Nutrient Cycle</w:t>
      </w:r>
    </w:p>
    <w:r>
      <w:rPr>
        <w:rFonts w:ascii="Arial" w:cs="Arial" w:eastAsia="Arial" w:hAnsi="Arial"/>
        <w:sz w:val="22"/>
        <w:szCs w:val="22"/>
      </w:rPr>
      <w:t xml:space="preserve">This tab integrates the three-compartment nitrogen ODE system described in Section 4 and provides multiple views of the nitrogen dynamics over a user-specified simulation period.</w:t>
    </w:r>
    <w:p>
      <w:pPr>
        <w:pStyle w:val="Heading3"/>
        <w:spacing w:after="80" w:before="200"/>
      </w:pPr>
      <w:r>
        <w:rPr>
          <w:rFonts w:ascii="Arial" w:cs="Arial" w:eastAsia="Arial" w:hAnsi="Arial"/>
          <w:b/>
          <w:bCs/>
          <w:color w:val="2563A8"/>
          <w:sz w:val="24"/>
          <w:szCs w:val="24"/>
        </w:rPr>
        <w:t xml:space="preserve">6.3.1 Multi-species concentration plot (top left)</w:t>
      </w:r>
    </w:p>
    <w:r>
      <w:rPr>
        <w:rFonts w:ascii="Arial" w:cs="Arial" w:eastAsia="Arial" w:hAnsi="Arial"/>
        <w:sz w:val="22"/>
        <w:szCs w:val="22"/>
      </w:rPr>
      <w:t xml:space="preserve">Three coloured lines trace the concentration of NH₄⁺ (red), NO₂⁻ (orange), and NO₃⁻ (green) over the full simulation duration in hours. Characteristic features include: a rapid initial rise in NH₄⁺ as the fish begin excreting; a subsequent rise in NO₂⁻ as Nitrosomonas bacteria activate; and a gradual rise in NO₃⁻ followed by a plateau as plant uptake balances bacterial production. The NH₄⁺ and NO₂⁻ peaks and their time-to-equilibrium are important for diagnosing biofilter maturity in a real system.</w:t>
    </w:r>
    <w:p>
      <w:pPr>
        <w:pStyle w:val="Heading3"/>
        <w:spacing w:after="80" w:before="200"/>
      </w:pPr>
      <w:r>
        <w:rPr>
          <w:rFonts w:ascii="Arial" w:cs="Arial" w:eastAsia="Arial" w:hAnsi="Arial"/>
          <w:b/>
          <w:bCs/>
          <w:color w:val="2563A8"/>
          <w:sz w:val="24"/>
          <w:szCs w:val="24"/>
        </w:rPr>
        <w:t xml:space="preserve">6.3.2 Stacked area chart — nitrogen budget (top right)</w:t>
      </w:r>
    </w:p>
    <w:r>
      <w:rPr>
        <w:rFonts w:ascii="Arial" w:cs="Arial" w:eastAsia="Arial" w:hAnsi="Arial"/>
        <w:sz w:val="22"/>
        <w:szCs w:val="22"/>
      </w:rPr>
      <w:t xml:space="preserve">The total dissolved inorganic nitrogen is partitioned into its three forms by a stacked area chart. The total area represents the total nitrogen load on the system. A healthy system shows NO₃⁻ dominating (&gt;90% of total N at steady state) with minimal NH₄⁺ and NO₂⁻. A maturing biofilter or one that is under temperature stress will show elevated NH₄⁺ and NO₂⁻ fractions.</w:t>
    </w:r>
    <w:p>
      <w:pPr>
        <w:pStyle w:val="Heading3"/>
        <w:spacing w:after="80" w:before="200"/>
      </w:pPr>
      <w:r>
        <w:rPr>
          <w:rFonts w:ascii="Arial" w:cs="Arial" w:eastAsia="Arial" w:hAnsi="Arial"/>
          <w:b/>
          <w:bCs/>
          <w:color w:val="2563A8"/>
          <w:sz w:val="24"/>
          <w:szCs w:val="24"/>
        </w:rPr>
        <w:t xml:space="preserve">6.3.3 Phase portrait: NH₄⁺ vs NO₃⁻ (bottom left)</w:t>
      </w:r>
    </w:p>
    <w:r>
      <w:rPr>
        <w:rFonts w:ascii="Arial" w:cs="Arial" w:eastAsia="Arial" w:hAnsi="Arial"/>
        <w:sz w:val="22"/>
        <w:szCs w:val="22"/>
      </w:rPr>
      <w:t xml:space="preserve">The phase portrait plots the trajectory of the system in the [NH₄⁺, NO₃⁻] plane over time. The start and end points are marked with green and red circles respectively. The shape of the trajectory encodes important system information: a trajectory that spirals to a fixed point indicates a stable equilibrium; an open-ended trajectory indicates the system has not yet reached steady state within the simulation window.</w:t>
    </w:r>
    <w:p>
      <w:pPr>
        <w:pStyle w:val="Heading3"/>
        <w:spacing w:after="80" w:before="200"/>
      </w:pPr>
      <w:r>
        <w:rPr>
          <w:rFonts w:ascii="Arial" w:cs="Arial" w:eastAsia="Arial" w:hAnsi="Arial"/>
          <w:b/>
          <w:bCs/>
          <w:color w:val="2563A8"/>
          <w:sz w:val="24"/>
          <w:szCs w:val="24"/>
        </w:rPr>
        <w:t xml:space="preserve">6.3.4 Nitrate production rate d[NO₃⁻]/dt (bottom right)</w:t>
      </w:r>
    </w:p>
    <w:r>
      <w:rPr>
        <w:rFonts w:ascii="Arial" w:cs="Arial" w:eastAsia="Arial" w:hAnsi="Arial"/>
        <w:sz w:val="22"/>
        <w:szCs w:val="22"/>
      </w:rPr>
      <w:t xml:space="preserve">The time derivative of the nitrate concentration is computed numerically using central differences. A positive rate indicates net nitrate production (biofilter activity exceeding plant uptake). A negative rate indicates net nitrate consumption (plant uptake exceeding production). The crossover point where the rate transitions from positive to negative identifies the nutrient equilibrium time, which is a key design parameter for sizing the fish tank relative to the grow bed area.</w:t>
    </w:r>
    <w:p>
      <w:pPr>
        <w:pStyle w:val="Heading2"/>
        <w:spacing w:after="120" w:before="280"/>
      </w:pPr>
      <w:r>
        <w:rPr>
          <w:rFonts w:ascii="Arial" w:cs="Arial" w:eastAsia="Arial" w:hAnsi="Arial"/>
          <w:b/>
          <w:bCs/>
          <w:color w:val="0F6E56"/>
          <w:sz w:val="28"/>
          <w:szCs w:val="28"/>
        </w:rPr>
        <w:t xml:space="preserve">6.4 Tab 4 — Plant Growth</w:t>
      </w:r>
    </w:p>
    <w:r>
      <w:rPr>
        <w:rFonts w:ascii="Arial" w:cs="Arial" w:eastAsia="Arial" w:hAnsi="Arial"/>
        <w:sz w:val="22"/>
        <w:szCs w:val="22"/>
      </w:rPr>
      <w:t xml:space="preserve">The Plant Growth tab simulates biomass accumulation using the Verhulst logistic model under three GI conditions simultaneously, enabling direct visual comparison of optimal, current, and stressed growth trajectories.</w:t>
    </w:r>
    <w:p>
      <w:pPr>
        <w:pStyle w:val="Heading3"/>
        <w:spacing w:after="80" w:before="200"/>
      </w:pPr>
      <w:r>
        <w:rPr>
          <w:rFonts w:ascii="Arial" w:cs="Arial" w:eastAsia="Arial" w:hAnsi="Arial"/>
          <w:b/>
          <w:bCs/>
          <w:color w:val="2563A8"/>
          <w:sz w:val="24"/>
          <w:szCs w:val="24"/>
        </w:rPr>
        <w:t xml:space="preserve">6.4.1 Logistic growth curves (top left)</w:t>
      </w:r>
    </w:p>
    <w:r>
      <w:rPr>
        <w:rFonts w:ascii="Arial" w:cs="Arial" w:eastAsia="Arial" w:hAnsi="Arial"/>
        <w:sz w:val="22"/>
        <w:szCs w:val="22"/>
      </w:rPr>
      <w:t xml:space="preserve">Three curves are plotted: Optimal GI (green), Current GI (blue), and Stress GI (red). All three start from the same initial biomass (configurable, default 10 g) and asymptote toward the carrying capacity K = 800 g at different rates. The characteristic S-shape is clearly visible, with the inflection point at P = K/2 = 400 g marking the transition from accelerating to decelerating growth.</w:t>
    </w:r>
    <w:p>
      <w:pPr>
        <w:pStyle w:val="Heading3"/>
        <w:spacing w:after="80" w:before="200"/>
      </w:pPr>
      <w:r>
        <w:rPr>
          <w:rFonts w:ascii="Arial" w:cs="Arial" w:eastAsia="Arial" w:hAnsi="Arial"/>
          <w:b/>
          <w:bCs/>
          <w:color w:val="2563A8"/>
          <w:sz w:val="24"/>
          <w:szCs w:val="24"/>
        </w:rPr>
        <w:t xml:space="preserve">6.4.2 Growth rate dP/dt (top right)</w:t>
      </w:r>
    </w:p>
    <w:r>
      <w:rPr>
        <w:rFonts w:ascii="Arial" w:cs="Arial" w:eastAsia="Arial" w:hAnsi="Arial"/>
        <w:sz w:val="22"/>
        <w:szCs w:val="22"/>
      </w:rPr>
      <w:t xml:space="preserve">The instantaneous growth rate is plotted for all three scenarios. The rate peaks at P = K/2 (the inflection point of the logistic curve) and goes to zero at P = 0 (no living biomass) and P = K (canopy closure). The height of the peak is proportional to GI — a plant with GI = 1.0 grows at maximum rate while a stressed plant at GI = 0.45 grows at less than half that rate.</w:t>
    </w:r>
    <w:p>
      <w:pPr>
        <w:pStyle w:val="Heading3"/>
        <w:spacing w:after="80" w:before="200"/>
      </w:pPr>
      <w:r>
        <w:rPr>
          <w:rFonts w:ascii="Arial" w:cs="Arial" w:eastAsia="Arial" w:hAnsi="Arial"/>
          <w:b/>
          <w:bCs/>
          <w:color w:val="2563A8"/>
          <w:sz w:val="24"/>
          <w:szCs w:val="24"/>
        </w:rPr>
        <w:t xml:space="preserve">6.4.3 Yield gap analysis (bottom left)</w:t>
      </w:r>
    </w:p>
    <w:r>
      <w:rPr>
        <w:rFonts w:ascii="Arial" w:cs="Arial" w:eastAsia="Arial" w:hAnsi="Arial"/>
        <w:sz w:val="22"/>
        <w:szCs w:val="22"/>
      </w:rPr>
      <w:t xml:space="preserve">Two filled regions are overlaid on the current-GI growth curve. The orange region between the Stress and Current curves represents the biomass recovered by the current management relative to pure stress conditions — the 'managed gain'. The green region between the Current and Optimal curves represents the additional biomass that could be achieved by further optimising all parameters to GI = 1.0 — the 'unrealised potential'.</w:t>
    </w:r>
    <w:p>
      <w:pPr>
        <w:pStyle w:val="Heading3"/>
        <w:spacing w:after="80" w:before="200"/>
      </w:pPr>
      <w:r>
        <w:rPr>
          <w:rFonts w:ascii="Arial" w:cs="Arial" w:eastAsia="Arial" w:hAnsi="Arial"/>
          <w:b/>
          <w:bCs/>
          <w:color w:val="2563A8"/>
          <w:sz w:val="24"/>
          <w:szCs w:val="24"/>
        </w:rPr>
        <w:t xml:space="preserve">6.4.4 Final biomass bar chart (bottom right)</w:t>
      </w:r>
    </w:p>
    <w:r>
      <w:rPr>
        <w:rFonts w:ascii="Arial" w:cs="Arial" w:eastAsia="Arial" w:hAnsi="Arial"/>
        <w:sz w:val="22"/>
        <w:szCs w:val="22"/>
      </w:rPr>
      <w:t xml:space="preserve">A simple bar chart compares the final biomass at the last simulated day for all three scenarios. Numerical labels show the exact values in grams. This panel provides the clearest absolute comparison for presentations and reports.</w:t>
    </w:r>
    <w:p>
      <w:pPr>
        <w:pStyle w:val="Heading2"/>
        <w:spacing w:after="120" w:before="280"/>
      </w:pPr>
      <w:r>
        <w:rPr>
          <w:rFonts w:ascii="Arial" w:cs="Arial" w:eastAsia="Arial" w:hAnsi="Arial"/>
          <w:b/>
          <w:bCs/>
          <w:color w:val="0F6E56"/>
          <w:sz w:val="28"/>
          <w:szCs w:val="28"/>
        </w:rPr>
        <w:t xml:space="preserve">6.5 Tab 5 — Sensitivity Analysis</w:t>
      </w:r>
    </w:p>
    <w:r>
      <w:rPr>
        <w:rFonts w:ascii="Arial" w:cs="Arial" w:eastAsia="Arial" w:hAnsi="Arial"/>
        <w:sz w:val="22"/>
        <w:szCs w:val="22"/>
      </w:rPr>
      <w:t xml:space="preserve">Four complementary sensitivity analysis views collectively characterise the response surface of the yield model over the full operating parameter space.</w:t>
    </w:r>
    <w:p>
      <w:pPr>
        <w:pStyle w:val="Heading3"/>
        <w:spacing w:after="80" w:before="200"/>
      </w:pPr>
      <w:r>
        <w:rPr>
          <w:rFonts w:ascii="Arial" w:cs="Arial" w:eastAsia="Arial" w:hAnsi="Arial"/>
          <w:b/>
          <w:bCs/>
          <w:color w:val="2563A8"/>
          <w:sz w:val="24"/>
          <w:szCs w:val="24"/>
        </w:rPr>
        <w:t xml:space="preserve">6.5.1 Tornado chart (top spanning)</w:t>
      </w:r>
    </w:p>
    <w:r>
      <w:rPr>
        <w:rFonts w:ascii="Arial" w:cs="Arial" w:eastAsia="Arial" w:hAnsi="Arial"/>
        <w:sz w:val="22"/>
        <w:szCs w:val="22"/>
      </w:rPr>
      <w:t xml:space="preserve">The tornado chart spans two thirds of the tab width and plots the ±15% yield sensitivity for all seven key parameters. Green bars extend to the right (positive impact, i.e., increasing the parameter improves yield) and red bars extend to the left (negative impact). The parameters are sorted by their total range (|high| + |low|), placing the most influential at the top. The x-axis shows the percentage change in yield. Parameters near the bottom of the tornado with very short bars (CO₂, DO) are less critical to control precisely, while parameters at the top (pH, temperature) require tight automated control.</w:t>
    </w:r>
    <w:p>
      <w:pPr>
        <w:pStyle w:val="Heading3"/>
        <w:spacing w:after="80" w:before="200"/>
      </w:pPr>
      <w:r>
        <w:rPr>
          <w:rFonts w:ascii="Arial" w:cs="Arial" w:eastAsia="Arial" w:hAnsi="Arial"/>
          <w:b/>
          <w:bCs/>
          <w:color w:val="2563A8"/>
          <w:sz w:val="24"/>
          <w:szCs w:val="24"/>
        </w:rPr>
        <w:t xml:space="preserve">6.5.2 Monte Carlo yield distribution (top right)</w:t>
      </w:r>
    </w:p>
    <w:r>
      <w:rPr>
        <w:rFonts w:ascii="Arial" w:cs="Arial" w:eastAsia="Arial" w:hAnsi="Arial"/>
        <w:sz w:val="22"/>
        <w:szCs w:val="22"/>
      </w:rPr>
      <w:t xml:space="preserve">The histogram of 1000 simulated yields under random parameter variation shows the probability distribution of achievable yields. The vertical green line marks the mean, and two dashed red lines mark the 5th and 95th percentiles. The P5–P95 interval is the practical production uncertainty band — a farm operator can be 90% confident that actual monthly yield will fall within this range under the current operating conditions.</w:t>
    </w:r>
    <w:p>
      <w:pPr>
        <w:pStyle w:val="Heading3"/>
        <w:spacing w:after="80" w:before="200"/>
      </w:pPr>
      <w:r>
        <w:rPr>
          <w:rFonts w:ascii="Arial" w:cs="Arial" w:eastAsia="Arial" w:hAnsi="Arial"/>
          <w:b/>
          <w:bCs/>
          <w:color w:val="2563A8"/>
          <w:sz w:val="24"/>
          <w:szCs w:val="24"/>
        </w:rPr>
        <w:t xml:space="preserve">6.5.3 Parameter sweep plots (bottom row)</w:t>
      </w:r>
    </w:p>
    <w:r>
      <w:rPr>
        <w:rFonts w:ascii="Arial" w:cs="Arial" w:eastAsia="Arial" w:hAnsi="Arial"/>
        <w:sz w:val="22"/>
        <w:szCs w:val="22"/>
      </w:rPr>
      <w:t xml:space="preserve">Three separate line charts sweep pH (5.5–8.5), EC (0.5–4.0 mS/cm), and Light (5–65 klux) independently while holding all other parameters fixed. A vertical dashed line marks the current value. These charts reveal the shape of the response function and identify whether the current operating point is on the rising slope (where small improvements give large yield gains), at the peak (already optimal), or on the falling slope (over-dosing).</w:t>
    </w:r>
    <w:p>
      <w:pPr>
        <w:pStyle w:val="Heading2"/>
        <w:spacing w:after="120" w:before="280"/>
      </w:pPr>
      <w:r>
        <w:rPr>
          <w:rFonts w:ascii="Arial" w:cs="Arial" w:eastAsia="Arial" w:hAnsi="Arial"/>
          <w:b/>
          <w:bCs/>
          <w:color w:val="0F6E56"/>
          <w:sz w:val="28"/>
          <w:szCs w:val="28"/>
        </w:rPr>
        <w:t xml:space="preserve">6.6 Tab 6 — Real-world Scenarios</w:t>
      </w:r>
    </w:p>
    <w:r>
      <w:rPr>
        <w:rFonts w:ascii="Arial" w:cs="Arial" w:eastAsia="Arial" w:hAnsi="Arial"/>
        <w:sz w:val="22"/>
        <w:szCs w:val="22"/>
      </w:rPr>
      <w:t xml:space="preserve">This tab models four real-world climate and operational conditions specific to the Kerala context and evaluates their impact on all system metrics.</w:t>
    </w:r>
    <w:p>
      <w:pPr>
        <w:pStyle w:val="Heading3"/>
        <w:spacing w:after="80" w:before="200"/>
      </w:pPr>
      <w:r>
        <w:rPr>
          <w:rFonts w:ascii="Arial" w:cs="Arial" w:eastAsia="Arial" w:hAnsi="Arial"/>
          <w:b/>
          <w:bCs/>
          <w:color w:val="2563A8"/>
          <w:sz w:val="24"/>
          <w:szCs w:val="24"/>
        </w:rPr>
        <w:t xml:space="preserve">6.6.1 Scenario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conditions</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stress</w:t>
            </w:r>
          </w:p>
        </w:tc>
        <w:tc>
          <w:tcPr>
            <w:tcW w:type="dxa" w:w="2256"/>
            <w:tcBorders>
              <w:top w:val="single" w:color="B0C4DE" w:sz="1"/>
              <w:left w:val="single" w:color="B0C4DE" w:sz="1"/>
              <w:bottom w:val="single" w:color="B0C4DE" w:sz="1"/>
              <w:right w:val="single" w:color="B0C4DE"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GI approx.</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Monsoon (Kerala)</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30°C, 90%RH, 18 klux, pH drift</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Light deficiency + pH drop</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0.62</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Summer Heat</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38°C, 40%RH, 55 klux, DO 5.8 mg/L</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Thermal stress + low DO</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0.51</w:t>
            </w:r>
          </w:p>
        </w:tc>
      </w:tr>
      <w:tr>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Optimal Indoor</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22°C, 65%RH, 30 klux, all params nominal</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None — reference condition</w:t>
            </w:r>
          </w:p>
        </w:tc>
        <w:tc>
          <w:tcPr>
            <w:tcW w:type="dxa" w:w="2256"/>
            <w:tcBorders>
              <w:top w:val="single" w:color="B0C4DE" w:sz="1"/>
              <w:left w:val="single" w:color="B0C4DE" w:sz="1"/>
              <w:bottom w:val="single" w:color="B0C4DE" w:sz="1"/>
              <w:right w:val="single" w:color="B0C4DE" w:sz="1"/>
            </w:tcBorders>
            <w:shd w:fill="EAF3FB" w:val="clear"/>
            <w:tcMar>
              <w:top w:type="dxa" w:w="60"/>
              <w:left w:type="dxa" w:w="120"/>
              <w:bottom w:type="dxa" w:w="60"/>
              <w:right w:type="dxa" w:w="120"/>
            </w:tcMar>
          </w:tcPr>
          <w:p>
            <w:pPr>
              <w:spacing w:after="0" w:before="0"/>
            </w:pPr>
            <w:r>
              <w:rPr>
                <w:rFonts w:ascii="Arial" w:cs="Arial" w:eastAsia="Arial" w:hAnsi="Arial"/>
                <w:sz w:val="22"/>
                <w:szCs w:val="22"/>
              </w:rPr>
              <w:t xml:space="preserve">0.94</w:t>
            </w:r>
          </w:p>
        </w:tc>
      </w:tr>
      <w:tr>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Power Outage</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Lights off, pump off, passive flow only</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Zero light + oxygen depletion risk</w:t>
            </w:r>
          </w:p>
        </w:tc>
        <w:tc>
          <w:tcPr>
            <w:tcW w:type="dxa" w:w="2256"/>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pPr>
              <w:spacing w:after="0" w:before="0"/>
            </w:pPr>
            <w:r>
              <w:rPr>
                <w:rFonts w:ascii="Arial" w:cs="Arial" w:eastAsia="Arial" w:hAnsi="Arial"/>
                <w:sz w:val="22"/>
                <w:szCs w:val="22"/>
              </w:rPr>
              <w:t xml:space="preserve">0.38</w:t>
            </w:r>
          </w:p>
        </w:tc>
      </w:tr>
    </w:tbl>
    <w:p>
      <w:pPr>
        <w:pStyle w:val="Heading3"/>
        <w:spacing w:after="80" w:before="200"/>
      </w:pPr>
      <w:r>
        <w:rPr>
          <w:rFonts w:ascii="Arial" w:cs="Arial" w:eastAsia="Arial" w:hAnsi="Arial"/>
          <w:b/>
          <w:bCs/>
          <w:color w:val="2563A8"/>
          <w:sz w:val="24"/>
          <w:szCs w:val="24"/>
        </w:rPr>
        <w:t xml:space="preserve">6.6.2 Dashboard components for each scenario</w:t>
      </w:r>
    </w:p>
    <w:r>
      <w:rPr>
        <w:rFonts w:ascii="Arial" w:cs="Arial" w:eastAsia="Arial" w:hAnsi="Arial"/>
        <w:sz w:val="22"/>
        <w:szCs w:val="22"/>
      </w:rPr>
      <w:t xml:space="preserve">When a scenario button is clicked, six elements update simultaneously: (1) the scenario description text box with meteorological and risk details; (2) the automated actions list showing what the IoT control system would do; (3) three metric cards showing GI, projected yield, and pH; (4) a radar chart showing parameter health deviation from optimal; (5) a crop yield comparison chart versus optimal; (6) the nitrogen cycle simulation and plant growth projection run under that scenario's GI value.</w:t>
    </w:r>
    <w:p>
      <w:pPr>
        <w:pStyle w:val="Heading2"/>
        <w:spacing w:after="120" w:before="280"/>
      </w:pPr>
      <w:r>
        <w:rPr>
          <w:rFonts w:ascii="Arial" w:cs="Arial" w:eastAsia="Arial" w:hAnsi="Arial"/>
          <w:b/>
          <w:bCs/>
          <w:color w:val="0F6E56"/>
          <w:sz w:val="28"/>
          <w:szCs w:val="28"/>
        </w:rPr>
        <w:t xml:space="preserve">6.7 Tab 7 — AI Integration</w:t>
      </w:r>
    </w:p>
    <w:r>
      <w:rPr>
        <w:rFonts w:ascii="Arial" w:cs="Arial" w:eastAsia="Arial" w:hAnsi="Arial"/>
        <w:sz w:val="22"/>
        <w:szCs w:val="22"/>
      </w:rPr>
      <w:t xml:space="preserve">The AI Integration tab demonstrates predictive analytics capabilities that go beyond reactive sensor monitoring.</w:t>
    </w:r>
    <w:p>
      <w:pPr>
        <w:pStyle w:val="Heading3"/>
        <w:spacing w:after="80" w:before="200"/>
      </w:pPr>
      <w:r>
        <w:rPr>
          <w:rFonts w:ascii="Arial" w:cs="Arial" w:eastAsia="Arial" w:hAnsi="Arial"/>
          <w:b/>
          <w:bCs/>
          <w:color w:val="2563A8"/>
          <w:sz w:val="24"/>
          <w:szCs w:val="24"/>
        </w:rPr>
        <w:t xml:space="preserve">6.7.1 AI recommendation engine</w:t>
      </w:r>
    </w:p>
    <w:r>
      <w:rPr>
        <w:rFonts w:ascii="Arial" w:cs="Arial" w:eastAsia="Arial" w:hAnsi="Arial"/>
        <w:sz w:val="22"/>
        <w:szCs w:val="22"/>
      </w:rPr>
      <w:t xml:space="preserve">The rule-based AI engine evaluates the current state against a decision tree of thresholds and generates specific, quantitative action recommendations. For pH, it computes the required KOH dosing volume using the formula:</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V_dose (mL) = |pH_current − 7.0| × 10 × (V_tank / 100)</w:t>
            </w:r>
          </w:p>
        </w:tc>
      </w:tr>
    </w:tbl>
    <w:p>
      <w:pPr>
        <w:spacing w:after="100" w:before="60"/>
        <w:ind w:left="240"/>
      </w:pPr>
      <w:r>
        <w:rPr>
          <w:rFonts w:ascii="Arial" w:cs="Arial" w:eastAsia="Arial" w:hAnsi="Arial"/>
          <w:i/>
          <w:iCs/>
          <w:color w:val="555555"/>
          <w:sz w:val="20"/>
          <w:szCs w:val="20"/>
        </w:rPr>
        <w:t xml:space="preserve">Derived from the buffer capacity of a typical aquaponics system: approximately 1 mL of 10% KOH solution per 100 L raises pH by 0.1 units.</w:t>
      </w:r>
    </w:p>
    <w:p>
      <w:pPr>
        <w:pStyle w:val="Heading3"/>
        <w:spacing w:after="80" w:before="200"/>
      </w:pPr>
      <w:r>
        <w:rPr>
          <w:rFonts w:ascii="Arial" w:cs="Arial" w:eastAsia="Arial" w:hAnsi="Arial"/>
          <w:b/>
          <w:bCs/>
          <w:color w:val="2563A8"/>
          <w:sz w:val="24"/>
          <w:szCs w:val="24"/>
        </w:rPr>
        <w:t xml:space="preserve">6.7.2 7-day pH forecast</w:t>
      </w:r>
    </w:p>
    <w:r>
      <w:rPr>
        <w:rFonts w:ascii="Arial" w:cs="Arial" w:eastAsia="Arial" w:hAnsi="Arial"/>
        <w:sz w:val="22"/>
        <w:szCs w:val="22"/>
      </w:rPr>
      <w:t xml:space="preserve">The pH forecast combines a linear drift term with a damped sinusoidal oscillation representing the diurnal pH cycle driven by photosynthesis (CO₂ consumption during the day raises pH; respiration at night lowers it) and a small stochastic component:</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pH(t) = pH₀ + α·t + A·sin(2π·t/3.5)·exp(−λ·t) + ε</w:t>
            </w:r>
          </w:p>
        </w:tc>
      </w:tr>
    </w:tbl>
    <w:p>
      <w:pPr>
        <w:spacing w:after="100" w:before="60"/>
        <w:ind w:left="240"/>
      </w:pPr>
      <w:r>
        <w:rPr>
          <w:rFonts w:ascii="Arial" w:cs="Arial" w:eastAsia="Arial" w:hAnsi="Arial"/>
          <w:i/>
          <w:iCs/>
          <w:color w:val="555555"/>
          <w:sz w:val="20"/>
          <w:szCs w:val="20"/>
        </w:rPr>
        <w:t xml:space="preserve">α = −0.07 pH/day (drift), A = 0.05 (oscillation amplitude), λ = 0.1 /day (damping), T = 3.5 days (half-period). Confidence bounds at ±0.12 pH.</w:t>
      </w:r>
    </w:p>
    <w:p>
      <w:pPr>
        <w:pStyle w:val="Heading3"/>
        <w:spacing w:after="80" w:before="200"/>
      </w:pPr>
      <w:r>
        <w:rPr>
          <w:rFonts w:ascii="Arial" w:cs="Arial" w:eastAsia="Arial" w:hAnsi="Arial"/>
          <w:b/>
          <w:bCs/>
          <w:color w:val="2563A8"/>
          <w:sz w:val="24"/>
          <w:szCs w:val="24"/>
        </w:rPr>
        <w:t xml:space="preserve">6.7.3 AI-controlled vs manual growth index</w:t>
      </w:r>
    </w:p>
    <w:r>
      <w:rPr>
        <w:rFonts w:ascii="Arial" w:cs="Arial" w:eastAsia="Arial" w:hAnsi="Arial"/>
        <w:sz w:val="22"/>
        <w:szCs w:val="22"/>
      </w:rPr>
      <w:t xml:space="preserve">A 48-hour simulation compares two trajectories: an uncontrolled system where parameters drift freely (GI trends downward with noise), and an AI-controlled system where corrective actions are applied when parameters deviate. The AI trajectory shows a faster recovery to high GI and maintains a tighter distribution around the target, quantifying the value of automated closed-loop control.</w:t>
    </w:r>
    <w:p>
      <w:pPr>
        <w:pStyle w:val="Heading3"/>
        <w:spacing w:after="80" w:before="200"/>
      </w:pPr>
      <w:r>
        <w:rPr>
          <w:rFonts w:ascii="Arial" w:cs="Arial" w:eastAsia="Arial" w:hAnsi="Arial"/>
          <w:b/>
          <w:bCs/>
          <w:color w:val="2563A8"/>
          <w:sz w:val="24"/>
          <w:szCs w:val="24"/>
        </w:rPr>
        <w:t xml:space="preserve">6.7.4 EC anomaly detection</w:t>
      </w:r>
    </w:p>
    <w:r>
      <w:rPr>
        <w:rFonts w:ascii="Arial" w:cs="Arial" w:eastAsia="Arial" w:hAnsi="Arial"/>
        <w:sz w:val="22"/>
        <w:szCs w:val="22"/>
      </w:rPr>
      <w:t xml:space="preserve">The anomaly detection panel simulates 72 hours of EC sensor readings with Bernoulli spike events at 4% probability per time step. Data points that deviate by more than 3σ from a rolling mean baseline are flagged as anomalies and highlighted with red scatter markers. This demonstrates the operational benefit of the Kalman filter and anomaly detection pipeline before alerts reach the farm operator.</w:t>
    </w:r>
    <w:p>
      <w:pPr>
        <w:pStyle w:val="Heading2"/>
        <w:spacing w:after="120" w:before="280"/>
      </w:pPr>
      <w:r>
        <w:rPr>
          <w:rFonts w:ascii="Arial" w:cs="Arial" w:eastAsia="Arial" w:hAnsi="Arial"/>
          <w:b/>
          <w:bCs/>
          <w:color w:val="0F6E56"/>
          <w:sz w:val="28"/>
          <w:szCs w:val="28"/>
        </w:rPr>
        <w:t xml:space="preserve">6.8 Tab 8 — Live Monitor</w:t>
      </w:r>
    </w:p>
    <w:r>
      <w:rPr>
        <w:rFonts w:ascii="Arial" w:cs="Arial" w:eastAsia="Arial" w:hAnsi="Arial"/>
        <w:sz w:val="22"/>
        <w:szCs w:val="22"/>
      </w:rPr>
      <w:t xml:space="preserve">The Live Monitor tab is the only tab with animated real-time output. It uses matplotlib.animation.FuncAnimation to update four plots at a user-configurable interval (200–2000 ms).</w:t>
    </w:r>
    <w:p>
      <w:pPr>
        <w:pStyle w:val="Heading3"/>
        <w:spacing w:after="80" w:before="200"/>
      </w:pPr>
      <w:r>
        <w:rPr>
          <w:rFonts w:ascii="Arial" w:cs="Arial" w:eastAsia="Arial" w:hAnsi="Arial"/>
          <w:b/>
          <w:bCs/>
          <w:color w:val="2563A8"/>
          <w:sz w:val="24"/>
          <w:szCs w:val="24"/>
        </w:rPr>
        <w:t xml:space="preserve">6.8.1 Simulated sensor dynamics</w:t>
      </w:r>
    </w:p>
    <w:r>
      <w:rPr>
        <w:rFonts w:ascii="Arial" w:cs="Arial" w:eastAsia="Arial" w:hAnsi="Arial"/>
        <w:sz w:val="22"/>
        <w:szCs w:val="22"/>
      </w:rPr>
      <w:t xml:space="preserve">Four sensors are simulated simultaneously with realistic long-term dynamics:</w:t>
    </w: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T(t) = 24 + 3·sin(0.4t) + N(0, 0.16)</w:t>
            </w:r>
          </w:p>
        </w:tc>
      </w:tr>
    </w:tbl>
    <w:p>
      <w:pPr>
        <w:spacing w:after="100" w:before="60"/>
        <w:ind w:left="240"/>
      </w:pPr>
      <w:r>
        <w:rPr>
          <w:rFonts w:ascii="Arial" w:cs="Arial" w:eastAsia="Arial" w:hAnsi="Arial"/>
          <w:i/>
          <w:iCs/>
          <w:color w:val="555555"/>
          <w:sz w:val="20"/>
          <w:szCs w:val="20"/>
        </w:rPr>
        <w:t xml:space="preserve">Temperature oscillates with a ~15-hour period simulating diurnal heating and cooling.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pH(t) = 7.0 − 0.005t + 0.05·sin(0.7t) + N(0, 0.0004)</w:t>
            </w:r>
          </w:p>
        </w:tc>
      </w:tr>
    </w:tbl>
    <w:p>
      <w:pPr>
        <w:spacing w:after="100" w:before="60"/>
        <w:ind w:left="240"/>
      </w:pPr>
      <w:r>
        <w:rPr>
          <w:rFonts w:ascii="Arial" w:cs="Arial" w:eastAsia="Arial" w:hAnsi="Arial"/>
          <w:i/>
          <w:iCs/>
          <w:color w:val="555555"/>
          <w:sz w:val="20"/>
          <w:szCs w:val="20"/>
        </w:rPr>
        <w:t xml:space="preserve">pH slowly drifts downward (acid production from fish metabolism) with a superimposed oscillation.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EC(t) = 2.0 + 0.1·sin(0.3t) + N(0, 0.0016)</w:t>
            </w:r>
          </w:p>
        </w:tc>
      </w:tr>
    </w:tbl>
    <w:p>
      <w:pPr>
        <w:spacing w:after="100" w:before="60"/>
        <w:ind w:left="240"/>
      </w:pPr>
      <w:r>
        <w:rPr>
          <w:rFonts w:ascii="Arial" w:cs="Arial" w:eastAsia="Arial" w:hAnsi="Arial"/>
          <w:i/>
          <w:iCs/>
          <w:color w:val="555555"/>
          <w:sz w:val="20"/>
          <w:szCs w:val="20"/>
        </w:rPr>
        <w:t xml:space="preserve">EC fluctuates around the setpoint as plants uptake nutrients and the reservoir is periodically topped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B0C4DE" w:sz="1"/>
              <w:bottom w:val="single" w:color="B0C4DE" w:sz="1"/>
              <w:right w:val="single" w:color="B0C4DE" w:sz="1"/>
            </w:tcBorders>
            <w:shd w:fill="F0F4FA" w:val="clear"/>
            <w:tcMar>
              <w:top w:type="dxa" w:w="160"/>
              <w:left w:type="dxa" w:w="240"/>
              <w:bottom w:type="dxa" w:w="160"/>
              <w:right w:type="dxa" w:w="240"/>
            </w:tcMar>
          </w:tcPr>
          <w:p>
            <w:pPr>
              <w:spacing w:after="0" w:before="0"/>
              <w:jc w:val="center"/>
            </w:pPr>
            <w:r>
              <w:rPr>
                <w:rFonts w:ascii="Courier New" w:cs="Courier New" w:eastAsia="Courier New" w:hAnsi="Courier New"/>
                <w:b/>
                <w:bCs/>
                <w:color w:val="1B3A6B"/>
                <w:sz w:val="22"/>
                <w:szCs w:val="22"/>
              </w:rPr>
              <w:t xml:space="preserve">DO(t) = 7.0 − 0.008t + 0.2·sin(0.5t) + N(0, 0.01)</w:t>
            </w:r>
          </w:p>
        </w:tc>
      </w:tr>
    </w:tbl>
    <w:p>
      <w:pPr>
        <w:spacing w:after="100" w:before="60"/>
        <w:ind w:left="240"/>
      </w:pPr>
      <w:r>
        <w:rPr>
          <w:rFonts w:ascii="Arial" w:cs="Arial" w:eastAsia="Arial" w:hAnsi="Arial"/>
          <w:i/>
          <w:iCs/>
          <w:color w:val="555555"/>
          <w:sz w:val="20"/>
          <w:szCs w:val="20"/>
        </w:rPr>
        <w:t xml:space="preserve">DO slowly depletes with increasing fish biomass and water temperature.</w:t>
      </w:r>
    </w:p>
    <w:p>
      <w:pPr>
        <w:pStyle w:val="Heading3"/>
        <w:spacing w:after="80" w:before="200"/>
      </w:pPr>
      <w:r>
        <w:rPr>
          <w:rFonts w:ascii="Arial" w:cs="Arial" w:eastAsia="Arial" w:hAnsi="Arial"/>
          <w:b/>
          <w:bCs/>
          <w:color w:val="2563A8"/>
          <w:sz w:val="24"/>
          <w:szCs w:val="24"/>
        </w:rPr>
        <w:t xml:space="preserve">6.8.2 Rolling window display</w:t>
      </w:r>
    </w:p>
    <w:r>
      <w:rPr>
        <w:rFonts w:ascii="Arial" w:cs="Arial" w:eastAsia="Arial" w:hAnsi="Arial"/>
        <w:sz w:val="22"/>
        <w:szCs w:val="22"/>
      </w:rPr>
      <w:t xml:space="preserve">The plots display a rolling window of the most recent 200 data points (50 hours at 0.25 h/tick). Older data scrolls off the left edge, creating the impression of a real-time data feed. Green shaded bands on each plot mark the optimal parameter range, making deviations immediately visible.</w:t>
    </w:r>
    <w:p>
      <w:pPr>
        <w:pStyle w:val="Heading3"/>
        <w:spacing w:after="80" w:before="200"/>
      </w:pPr>
      <w:r>
        <w:rPr>
          <w:rFonts w:ascii="Arial" w:cs="Arial" w:eastAsia="Arial" w:hAnsi="Arial"/>
          <w:b/>
          <w:bCs/>
          <w:color w:val="2563A8"/>
          <w:sz w:val="24"/>
          <w:szCs w:val="24"/>
        </w:rPr>
        <w:t xml:space="preserve">6.8.3 Live status bar</w:t>
      </w:r>
    </w:p>
    <w:r>
      <w:rPr>
        <w:rFonts w:ascii="Arial" w:cs="Arial" w:eastAsia="Arial" w:hAnsi="Arial"/>
        <w:sz w:val="22"/>
        <w:szCs w:val="22"/>
      </w:rPr>
      <w:t xml:space="preserve">The status bar at the top of the tab shows the current simulated time (t = X.Xh), the live Growth Index, the current pH, and the current temperature, updating with every animation frame. This mirrors the information that would be displayed on the physical AquaGrow mobile app connected to the ESP32 via the Zoho IoT MQTT broker.</w:t>
    </w:r>
    <w:p>
      <w:pPr>
        <w:spacing w:after="0" w:before="0"/>
      </w:pPr>
      <w:r>
        <w:br/>
      </w:r>
    </w:p>
    <w:p>
      <w:pPr>
        <w:pStyle w:val="Heading1"/>
        <w:pBdr>
          <w:bottom w:val="single" w:color="1B3A6B" w:sz="6" w:space="4"/>
        </w:pBdr>
        <w:spacing w:after="160" w:before="360"/>
      </w:pPr>
      <w:r>
        <w:rPr>
          <w:rFonts w:ascii="Arial" w:cs="Arial" w:eastAsia="Arial" w:hAnsi="Arial"/>
          <w:b/>
          <w:bCs/>
          <w:color w:val="1B3A6B"/>
          <w:sz w:val="36"/>
          <w:szCs w:val="36"/>
        </w:rPr>
        <w:t xml:space="preserve">7. References</w:t>
      </w:r>
    </w:p>
    <w:p>
      <w:pPr>
        <w:pStyle w:val="ListParagraph"/>
        <w:numPr>
          <w:ilvl w:val="0"/>
          <w:numId w:val="3"/>
        </w:numPr>
        <w:spacing w:after="80" w:before="40"/>
      </w:pPr>
      <w:r>
        <w:rPr>
          <w:rFonts w:ascii="Arial" w:cs="Arial" w:eastAsia="Arial" w:hAnsi="Arial"/>
          <w:sz w:val="22"/>
          <w:szCs w:val="22"/>
        </w:rPr>
        <w:t xml:space="preserve">Love, D. C., Fry, J. P., Li, X., Hill, E. S., Genello, L., Semmens, K., &amp; Thompson, R. E. (2015). Commercial aquaponics production and profitability: Findings from an international survey. Aquaculture, 435, 67–74.</w:t>
      </w:r>
    </w:p>
    <w:p>
      <w:pPr>
        <w:pStyle w:val="ListParagraph"/>
        <w:numPr>
          <w:ilvl w:val="0"/>
          <w:numId w:val="3"/>
        </w:numPr>
        <w:spacing w:after="80" w:before="40"/>
      </w:pPr>
      <w:r>
        <w:rPr>
          <w:rFonts w:ascii="Arial" w:cs="Arial" w:eastAsia="Arial" w:hAnsi="Arial"/>
          <w:sz w:val="22"/>
          <w:szCs w:val="22"/>
        </w:rPr>
        <w:t xml:space="preserve">Chandramenon, R., et al. (2024). Smart Aquaponics 4.0 and water quality monitoring. Computers and Electronics in Agriculture.</w:t>
      </w:r>
    </w:p>
    <w:p>
      <w:pPr>
        <w:pStyle w:val="ListParagraph"/>
        <w:numPr>
          <w:ilvl w:val="0"/>
          <w:numId w:val="3"/>
        </w:numPr>
        <w:spacing w:after="80" w:before="40"/>
      </w:pPr>
      <w:r>
        <w:rPr>
          <w:rFonts w:ascii="Arial" w:cs="Arial" w:eastAsia="Arial" w:hAnsi="Arial"/>
          <w:sz w:val="22"/>
          <w:szCs w:val="22"/>
        </w:rPr>
        <w:t xml:space="preserve">Giacalone, D., &amp; Jaeger, S. R. (2023). Consumer acceptance of novel sustainable food technologies: A multi-country survey. Journal of Cleaner Production, 408, 137119.</w:t>
      </w:r>
    </w:p>
    <w:p>
      <w:pPr>
        <w:pStyle w:val="ListParagraph"/>
        <w:numPr>
          <w:ilvl w:val="0"/>
          <w:numId w:val="3"/>
        </w:numPr>
        <w:spacing w:after="80" w:before="40"/>
      </w:pPr>
      <w:r>
        <w:rPr>
          <w:rFonts w:ascii="Arial" w:cs="Arial" w:eastAsia="Arial" w:hAnsi="Arial"/>
          <w:sz w:val="22"/>
          <w:szCs w:val="22"/>
        </w:rPr>
        <w:t xml:space="preserve">Zou, H., et al. (2023). Eliminating greenhouse heat stress with transparent radiative cooling film. Cell Reports Physical Science, 4(8), 101539.</w:t>
      </w:r>
    </w:p>
    <w:p>
      <w:pPr>
        <w:pStyle w:val="ListParagraph"/>
        <w:numPr>
          <w:ilvl w:val="0"/>
          <w:numId w:val="3"/>
        </w:numPr>
        <w:spacing w:after="80" w:before="40"/>
      </w:pPr>
      <w:r>
        <w:rPr>
          <w:rFonts w:ascii="Arial" w:cs="Arial" w:eastAsia="Arial" w:hAnsi="Arial"/>
          <w:sz w:val="22"/>
          <w:szCs w:val="22"/>
        </w:rPr>
        <w:t xml:space="preserve">Rakocy, J. E., Masser, M. P., &amp; Losordo, T. M. (2006). Recirculating aquaculture tank production systems: Aquaponics — integrating fish and plant culture. SRAC Publication No. 454.</w:t>
      </w:r>
    </w:p>
    <w:p>
      <w:pPr>
        <w:pStyle w:val="ListParagraph"/>
        <w:numPr>
          <w:ilvl w:val="0"/>
          <w:numId w:val="3"/>
        </w:numPr>
        <w:spacing w:after="80" w:before="40"/>
      </w:pPr>
      <w:r>
        <w:rPr>
          <w:rFonts w:ascii="Arial" w:cs="Arial" w:eastAsia="Arial" w:hAnsi="Arial"/>
          <w:sz w:val="22"/>
          <w:szCs w:val="22"/>
        </w:rPr>
        <w:t xml:space="preserve">Touliatos, D., Dodd, I. C., &amp; McAinsh, M. (2016). Vertical farming increases lettuce yield per unit area compared to conventional horizontal hydroponics. Food and Energy Security, 5(3), 184–191.</w:t>
      </w:r>
    </w:p>
    <w:p>
      <w:pPr>
        <w:pStyle w:val="ListParagraph"/>
        <w:numPr>
          <w:ilvl w:val="0"/>
          <w:numId w:val="3"/>
        </w:numPr>
        <w:spacing w:after="80" w:before="40"/>
      </w:pPr>
      <w:r>
        <w:rPr>
          <w:rFonts w:ascii="Arial" w:cs="Arial" w:eastAsia="Arial" w:hAnsi="Arial"/>
          <w:sz w:val="22"/>
          <w:szCs w:val="22"/>
        </w:rPr>
        <w:t xml:space="preserve">Hao, X., &amp; Papadopoulos, A. P. (2004). Effects of supplemental lighting and cover materials on growth, photosynthesis, biomass partitioning, early yield and quality of greenhouse cucumber. Scientia Horticulturae, 80(1–2), 1–18.</w:t>
      </w:r>
    </w:p>
    <w:p>
      <w:pPr>
        <w:pStyle w:val="ListParagraph"/>
        <w:numPr>
          <w:ilvl w:val="0"/>
          <w:numId w:val="3"/>
        </w:numPr>
        <w:spacing w:after="80" w:before="40"/>
      </w:pPr>
      <w:r>
        <w:rPr>
          <w:rFonts w:ascii="Arial" w:cs="Arial" w:eastAsia="Arial" w:hAnsi="Arial"/>
          <w:sz w:val="22"/>
          <w:szCs w:val="22"/>
        </w:rPr>
        <w:t xml:space="preserve">Welch, G., &amp; Bishop, G. (1995). An Introduction to the Kalman Filter. University of North Carolina at Chapel Hill, TR 95-041.</w:t>
      </w:r>
    </w:p>
    <w:p>
      <w:pPr>
        <w:pStyle w:val="ListParagraph"/>
        <w:numPr>
          <w:ilvl w:val="0"/>
          <w:numId w:val="3"/>
        </w:numPr>
        <w:spacing w:after="80" w:before="40"/>
      </w:pPr>
      <w:r>
        <w:rPr>
          <w:rFonts w:ascii="Arial" w:cs="Arial" w:eastAsia="Arial" w:hAnsi="Arial"/>
          <w:sz w:val="22"/>
          <w:szCs w:val="22"/>
        </w:rPr>
        <w:t xml:space="preserve">Grand View Research. (2024). Aquaponics market size, share &amp; trends analysis report. grandviewresearch.com</w:t>
      </w:r>
    </w:p>
    <w:p>
      <w:pPr>
        <w:pStyle w:val="ListParagraph"/>
        <w:numPr>
          <w:ilvl w:val="0"/>
          <w:numId w:val="3"/>
        </w:numPr>
        <w:spacing w:after="80" w:before="40"/>
      </w:pPr>
      <w:r>
        <w:rPr>
          <w:rFonts w:ascii="Arial" w:cs="Arial" w:eastAsia="Arial" w:hAnsi="Arial"/>
          <w:sz w:val="22"/>
          <w:szCs w:val="22"/>
        </w:rPr>
        <w:t xml:space="preserve">Grand View Research. (2023). Hydroponics market size, share &amp; trends analysis report. grandviewresearch.com</w:t>
      </w:r>
    </w:p>
    <w:p>
      <w:pPr>
        <w:pStyle w:val="ListParagraph"/>
        <w:numPr>
          <w:ilvl w:val="0"/>
          <w:numId w:val="3"/>
        </w:numPr>
        <w:spacing w:after="80" w:before="40"/>
      </w:pPr>
      <w:r>
        <w:rPr>
          <w:rFonts w:ascii="Arial" w:cs="Arial" w:eastAsia="Arial" w:hAnsi="Arial"/>
          <w:sz w:val="22"/>
          <w:szCs w:val="22"/>
        </w:rPr>
        <w:t xml:space="preserve">Market Research Future. (2025). India hydroponics market report 2025–2035. marketresearchfuture.com</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after="0" w:before="160"/>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r>
      <w:rPr>
        <w:rFonts w:ascii="Arial" w:cs="Arial" w:eastAsia="Arial" w:hAnsi="Arial"/>
        <w:color w:val="777777"/>
        <w:sz w:val="18"/>
        <w:szCs w:val="18"/>
      </w:rPr>
      <w:t xml:space="preserve">          Department of Mechanical Engineering, NIT Calicut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60" w:before="0"/>
    </w:pPr>
    <w:r>
      <w:rPr>
        <w:rFonts w:ascii="Arial" w:cs="Arial" w:eastAsia="Arial" w:hAnsi="Arial"/>
        <w:color w:val="777777"/>
        <w:sz w:val="18"/>
        <w:szCs w:val="18"/>
      </w:rPr>
      <w:t xml:space="preserve">AquaGrow IoT Simulation — Technical Report  |  NITC MED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2026-04-10T20:13:49.605Z</dcterms:created>
  <dcterms:modified xsi:type="dcterms:W3CDTF">2026-04-10T20:13:49.606Z</dcterms:modified>
</cp:coreProperties>
</file>

<file path=docProps/custom.xml><?xml version="1.0" encoding="utf-8"?>
<Properties xmlns="http://schemas.openxmlformats.org/officeDocument/2006/custom-properties" xmlns:vt="http://schemas.openxmlformats.org/officeDocument/2006/docPropsVTypes"/>
</file>