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xy613kbbpdp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Birmingham, AL – Research Insights (Spring ‘25)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Unemployment Is Higher Than Average: Birmingham's unemployment rate is approx 4.3%, which is higher than that of Alabama's average of 3.6% overall but less than it was in the years before.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Rent Is Increasing: A one-bedroom apartment's average rent is $1,040, which is around 7% more than it was a year ago. The rate of vacancy is nearly 6.5%.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The problem of rent burden is important: 42% of renters spend more than 30% of their income on housing.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Not enough Affordable Housing: For it to keep up with demand, Birmingham needs at least 10,000 more affordable housing units.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Eviction Rates Stay High: Alabama has weak tenant protections, and eviction rates are around 5.6%, far higher than the national average.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860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We can see how the median home sale price grew by almost 20%, from around $175,000 in 2020 to about $210,000 in 2025. The most drastic rise happened between 2021 and 2022, when prices surged quickly due to a significant spike in demand. Since then, prices have increased annually, albeit a little more slowly. Although this steady upward trend points to a generally strong housing market, it also draws attention to the developing affordability issues, particularly given that Birmingham's income levels have not increased at the same rate. 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03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Low-Income Neighborhoods Have Difficulties: Ensley, West End, and North Birmingham are some of the neighborhoods that struggle with higher housing instability and rates of poverty above 30%.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975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No Citywide Inclusionary Zoning: While there are local efforts like the Affordable Housing Trust Fund, there is no official law requiring affordable housing.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Downtown Gentrification: As the region around UAB grows, rents in communities like Avondale and Lakeview are rising.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 Housing prices Are Growing More Rapidly Than Income: Although the median household income is $55,000, housing prices are rising more quickly.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 Higher Default Rates in Certain ZIP Codes: The greatest predicted default rates (~7.2%) are found in ZIP codes like 35211 and 35208.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46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11.</w:t>
      </w:r>
      <w:r w:rsidDel="00000000" w:rsidR="00000000" w:rsidRPr="00000000">
        <w:rPr>
          <w:sz w:val="26"/>
          <w:szCs w:val="26"/>
          <w:rtl w:val="0"/>
        </w:rPr>
        <w:t xml:space="preserve">Median Sale Price: ~$210,000 (up 6–7% year-over-year)</w:t>
        <w:br w:type="textWrapping"/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Sale-to-List Price Ratio: Homes are selling for about 96% of list price.</w:t>
        <w:br w:type="textWrapping"/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Days on Market: Homes sell in about 48 days — faster than the national average.</w:t>
        <w:br w:type="textWrapping"/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Neighborhood Trends: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Big price jumps (~10–12%) in Avondale, Lakeview, and downtown areas.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Most affordable areas: Ensley, North Birmingham, East Lake — but with higher vacancy risks.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55x6jf2s47xa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https://acre.culverhouse.ua.edu/housing-reports/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https://bhauthority.org/</w:t>
        </w:r>
      </w:hyperlink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City of Birmingham Housing Reports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https://www.alabamapolicy.org/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sales_AL.xlsx (March 2025)a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bhauthority.org/" TargetMode="External"/><Relationship Id="rId10" Type="http://schemas.openxmlformats.org/officeDocument/2006/relationships/hyperlink" Target="https://acre.culverhouse.ua.edu/housing-reports/" TargetMode="External"/><Relationship Id="rId12" Type="http://schemas.openxmlformats.org/officeDocument/2006/relationships/hyperlink" Target="https://www.alabamapolicy.org/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