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Project Minimal Cashflow</w:t>
      </w:r>
    </w:p>
    <w:p>
      <w:pPr>
        <w:pStyle w:val="Subtitle"/>
        <w:jc w:val="center"/>
      </w:pPr>
      <w:r>
        <w:t>Finale Document – UVP, MVP &amp; CSV Strategie</w:t>
      </w:r>
    </w:p>
    <w:p>
      <w:pPr>
        <w:jc w:val="center"/>
      </w:pPr>
      <w:r>
        <w:t>Datum: 02-12-2025</w:t>
      </w:r>
    </w:p>
    <w:p>
      <w:pPr>
        <w:jc w:val="center"/>
      </w:pPr>
      <w:r>
        <w:t>Lead: Manasse Visser</w:t>
      </w:r>
    </w:p>
    <w:p>
      <w:r>
        <w:br w:type="page"/>
      </w:r>
    </w:p>
    <w:p>
      <w:pPr>
        <w:pStyle w:val="Heading1"/>
        <w:jc w:val="center"/>
      </w:pPr>
      <w:r>
        <w:t>Definitieve UVP &amp; MVP Scope</w:t>
      </w:r>
    </w:p>
    <w:p>
      <w:pPr>
        <w:pStyle w:val="Heading2"/>
      </w:pPr>
      <w:r>
        <w:t>Definitieve UVP:</w:t>
      </w:r>
    </w:p>
    <w:p>
      <w:pPr/>
      <w:r>
        <w:t>"Privacy-first budgetapp die bankdata automatisch verwerkt zonder bankkoppeling — controle over cashflow, ook bij contant geld of onregelmatig inkomen."</w:t>
      </w:r>
    </w:p>
    <w:p>
      <w:pPr>
        <w:pStyle w:val="Heading2"/>
      </w:pPr>
      <w:r>
        <w:t>MVP 1.0 – 3 Kernfuncties:</w:t>
      </w:r>
    </w:p>
    <w:p>
      <w:pPr>
        <w:pStyle w:val="Heading3"/>
      </w:pPr>
      <w:r>
        <w:t>Setup:</w:t>
      </w:r>
    </w:p>
    <w:p>
      <w:pPr>
        <w:pStyle w:val="ListBullet"/>
      </w:pPr>
      <w:r>
        <w:t>• PIN/Biometrie</w:t>
      </w:r>
    </w:p>
    <w:p>
      <w:pPr>
        <w:pStyle w:val="ListBullet"/>
      </w:pPr>
      <w:r>
        <w:t>• Privacy-first data model</w:t>
      </w:r>
    </w:p>
    <w:p>
      <w:pPr>
        <w:pStyle w:val="ListBullet"/>
      </w:pPr>
      <w:r>
        <w:t>• Flexibele account types</w:t>
      </w:r>
    </w:p>
    <w:p>
      <w:pPr>
        <w:pStyle w:val="Heading3"/>
      </w:pPr>
      <w:r>
        <w:t>Invoer:</w:t>
      </w:r>
    </w:p>
    <w:p>
      <w:pPr>
        <w:pStyle w:val="ListBullet"/>
      </w:pPr>
      <w:r>
        <w:t>• Handmatige invoer</w:t>
      </w:r>
    </w:p>
    <w:p>
      <w:pPr>
        <w:pStyle w:val="ListBullet"/>
      </w:pPr>
      <w:r>
        <w:t>• Categorisering gekoppeld aan invoer</w:t>
      </w:r>
    </w:p>
    <w:p>
      <w:pPr>
        <w:pStyle w:val="ListBullet"/>
      </w:pPr>
      <w:r>
        <w:t>• CSV-import met bank-presets (ING, Rabobank, ABN AMRO)</w:t>
      </w:r>
    </w:p>
    <w:p>
      <w:pPr>
        <w:pStyle w:val="Heading3"/>
      </w:pPr>
      <w:r>
        <w:t>Dashboard:</w:t>
      </w:r>
    </w:p>
    <w:p>
      <w:pPr>
        <w:pStyle w:val="ListBullet"/>
      </w:pPr>
      <w:r>
        <w:t>• Basisrapportage en cashflow-overzicht</w:t>
      </w:r>
    </w:p>
    <w:p>
      <w:pPr>
        <w:pStyle w:val="Heading2"/>
      </w:pPr>
      <w:r>
        <w:t>CSV-Import Strategie &amp; Onderzoek</w:t>
      </w:r>
    </w:p>
    <w:p>
      <w:pPr/>
      <w:r>
        <w:t>Ondersteunde banken: ING, Rabobank, ABN AMRO, Bunq, Knab, SNS.</w:t>
      </w:r>
    </w:p>
    <w:p>
      <w:pPr>
        <w:pStyle w:val="Heading3"/>
      </w:pPr>
      <w:r>
        <w:t>Belangrijkste inzichten:</w:t>
      </w:r>
    </w:p>
    <w:p>
      <w:pPr>
        <w:pStyle w:val="ListBullet"/>
      </w:pPr>
      <w:r>
        <w:t>• CSV breed ondersteund door NL banken</w:t>
      </w:r>
    </w:p>
    <w:p>
      <w:pPr>
        <w:pStyle w:val="ListBullet"/>
      </w:pPr>
      <w:r>
        <w:t>• Variatie in headers en scheidingstekens per bank</w:t>
      </w:r>
    </w:p>
    <w:p>
      <w:pPr>
        <w:pStyle w:val="ListBullet"/>
      </w:pPr>
      <w:r>
        <w:t>• Rabobank biedt rijke metadata voor categorisatie</w:t>
      </w:r>
    </w:p>
    <w:p>
      <w:pPr>
        <w:pStyle w:val="ListBullet"/>
      </w:pPr>
      <w:r>
        <w:t>• ABN AMRO beperkt, vereist fallback parser</w:t>
      </w:r>
    </w:p>
    <w:p>
      <w:pPr/>
      <w:r>
        <w:t>Aanbevolen limiet: 3 maanden (90 dagen) voor bulk-import.</w:t>
      </w:r>
    </w:p>
    <w:p>
      <w:pPr>
        <w:pStyle w:val="Heading2"/>
      </w:pPr>
      <w:r>
        <w:t>n8n Workflow Architectuur</w:t>
      </w:r>
    </w:p>
    <w:p>
      <w:pPr>
        <w:pStyle w:val="Heading3"/>
      </w:pPr>
      <w:r>
        <w:t>Stappen:</w:t>
      </w:r>
    </w:p>
    <w:p>
      <w:pPr>
        <w:pStyle w:val="ListNumber"/>
      </w:pPr>
      <w:r>
        <w:t>1. Upload CSV → Detect Bank → Parse &amp; Clean</w:t>
      </w:r>
    </w:p>
    <w:p>
      <w:pPr>
        <w:pStyle w:val="ListNumber"/>
      </w:pPr>
      <w:r>
        <w:t>2. Bank-presets voor ING, Rabobank, ABN AMRO</w:t>
      </w:r>
    </w:p>
    <w:p>
      <w:pPr>
        <w:pStyle w:val="ListNumber"/>
      </w:pPr>
      <w:r>
        <w:t>3. Map naar Unified Data Model</w:t>
      </w:r>
    </w:p>
    <w:p>
      <w:pPr>
        <w:pStyle w:val="ListNumber"/>
      </w:pPr>
      <w:r>
        <w:t>4. Validatie &amp; Duplicaatherkenning</w:t>
      </w:r>
    </w:p>
    <w:p>
      <w:pPr>
        <w:pStyle w:val="ListNumber"/>
      </w:pPr>
      <w:r>
        <w:t>5. Output naar JSON/Database</w:t>
      </w:r>
    </w:p>
    <w:p>
      <w:pPr>
        <w:pStyle w:val="Heading2"/>
      </w:pPr>
      <w:r>
        <w:t>Beslissingsmatrix (Versie 2.0)</w:t>
      </w:r>
    </w:p>
    <w:p>
      <w:pPr/>
      <w:r>
        <w:t>Feature B (CSV-import) herwaardeerd van MVP+ naar MVP 1.0.</w:t>
      </w:r>
    </w:p>
    <w:p>
      <w:pPr>
        <w:pStyle w:val="Heading3"/>
      </w:pPr>
      <w:r>
        <w:t>Rationale:</w:t>
      </w:r>
    </w:p>
    <w:p>
      <w:pPr>
        <w:pStyle w:val="ListBullet"/>
      </w:pPr>
      <w:r>
        <w:t>• Essentieel voor UVP: Privacy + gemak</w:t>
      </w:r>
    </w:p>
    <w:p>
      <w:pPr>
        <w:pStyle w:val="ListBullet"/>
      </w:pPr>
      <w:r>
        <w:t>• Vertrouwen-kritiek: eerste actie moet slagen</w:t>
      </w:r>
    </w:p>
    <w:p>
      <w:pPr>
        <w:pStyle w:val="ListBullet"/>
      </w:pPr>
      <w:r>
        <w:t>• Technisch haalbaar met n8n en presets</w:t>
      </w:r>
    </w:p>
    <w:p>
      <w:pPr>
        <w:pStyle w:val="Heading2"/>
      </w:pPr>
      <w:r>
        <w:t>Implementatie Roadmap</w:t>
      </w:r>
    </w:p>
    <w:p>
      <w:pPr>
        <w:pStyle w:val="ListBullet"/>
      </w:pPr>
      <w:r>
        <w:t>Fase 1: ING + Rabobank + ABN AMRO</w:t>
      </w:r>
    </w:p>
    <w:p>
      <w:pPr>
        <w:pStyle w:val="ListBullet"/>
      </w:pPr>
      <w:r>
        <w:t>Fase 2: Bunq + Knab + SNS</w:t>
      </w:r>
    </w:p>
    <w:p>
      <w:pPr>
        <w:pStyle w:val="ListBullet"/>
      </w:pPr>
      <w:r>
        <w:t>Fase 3: Automatische categorisatie (MVP+)</w:t>
      </w:r>
    </w:p>
    <w:p>
      <w:pPr>
        <w:pStyle w:val="Heading2"/>
      </w:pPr>
      <w:r>
        <w:t>Formeel GO/STOP Beslissingskader</w:t>
      </w:r>
    </w:p>
    <w:p>
      <w:pPr/>
      <w:r>
        <w:t>GO-criteria: UVP onderscheidend, scope minimaal, haalbaar binnen 12 weken.</w:t>
      </w:r>
    </w:p>
    <w:p>
      <w:pPr/>
      <w:r>
        <w:t>STOP-signalen: Technische risico's te hoog, budget ontoereikend.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