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21875" w14:textId="77777777" w:rsidR="00516F9D" w:rsidRDefault="00000000">
      <w:pPr>
        <w:spacing w:after="40"/>
        <w:jc w:val="center"/>
      </w:pPr>
      <w:r>
        <w:rPr>
          <w:b/>
          <w:sz w:val="40"/>
        </w:rPr>
        <w:t>List of Publications</w:t>
      </w:r>
    </w:p>
    <w:p w14:paraId="71B126B4" w14:textId="77777777" w:rsidR="00516F9D" w:rsidRDefault="00000000">
      <w:pPr>
        <w:spacing w:after="280"/>
        <w:jc w:val="center"/>
      </w:pPr>
      <w:r>
        <w:rPr>
          <w:sz w:val="25"/>
        </w:rPr>
        <w:t>Manas Sharma</w:t>
      </w:r>
    </w:p>
    <w:p w14:paraId="3426BE4E" w14:textId="6D7D143E" w:rsidR="00516F9D" w:rsidRDefault="00000000">
      <w:pPr>
        <w:spacing w:after="80" w:line="269" w:lineRule="auto"/>
        <w:ind w:left="576" w:hanging="576"/>
      </w:pPr>
      <w:r>
        <w:t>1.  Y. J. Franzke</w:t>
      </w:r>
      <w:r>
        <w:rPr>
          <w:vertAlign w:val="superscript"/>
        </w:rPr>
        <w:t>†</w:t>
      </w:r>
      <w:r>
        <w:t xml:space="preserve">, </w:t>
      </w:r>
      <w:r>
        <w:rPr>
          <w:b/>
        </w:rPr>
        <w:t>M. Sharma</w:t>
      </w:r>
      <w:r>
        <w:rPr>
          <w:vertAlign w:val="superscript"/>
        </w:rPr>
        <w:t>†</w:t>
      </w:r>
      <w:r>
        <w:t xml:space="preserve">, P. Bhasin, F. Bruder, U. Huniar, P. Komonvasee, M. Krstić, A. Nejad, A. Pausch, K. Sorathia, N. Sülzner, Ö. F. C. Tiska, A. Zhu, R. Zielke, C. Hättig*, C. Holzer*, M. Sierka*, D. P. Tew*, F. Weigend (2026), </w:t>
      </w:r>
      <w:hyperlink r:id="rId18" w:history="1">
        <w:r>
          <w:rPr>
            <w:i/>
            <w:color w:val="0000FF"/>
            <w:u w:val="single"/>
            <w:sz w:val="24"/>
            <w:szCs w:val="24"/>
          </w:rPr>
          <w:t>Recent Developments in TURBOMOLE</w:t>
        </w:r>
      </w:hyperlink>
      <w:r>
        <w:t>, In review at The Journal of Chemical Physics (2026).</w:t>
      </w:r>
    </w:p>
    <w:p w14:paraId="1E757252" w14:textId="044EF646" w:rsidR="00516F9D" w:rsidRDefault="00000000">
      <w:pPr>
        <w:spacing w:after="40" w:line="264" w:lineRule="auto"/>
        <w:ind w:left="1123" w:hanging="317"/>
      </w:pPr>
      <w:r>
        <w:rPr>
          <w:sz w:val="21"/>
        </w:rPr>
        <w:t xml:space="preserve">•  </w:t>
      </w:r>
      <w:r>
        <w:rPr>
          <w:b/>
          <w:sz w:val="21"/>
        </w:rPr>
        <w:t>Authorship note:</w:t>
      </w:r>
      <w:r>
        <w:rPr>
          <w:sz w:val="21"/>
        </w:rPr>
        <w:t xml:space="preserve"> Co-first author († equal contribution with Y. J. Franzke, whose name appears first alphabetically).</w:t>
      </w:r>
    </w:p>
    <w:p w14:paraId="4D5F7400" w14:textId="77777777" w:rsidR="00516F9D" w:rsidRDefault="00516F9D">
      <w:pPr>
        <w:spacing w:after="0" w:line="160" w:lineRule="exact"/>
      </w:pPr>
    </w:p>
    <w:p w14:paraId="3426BE4E" w14:textId="6D7D143E" w:rsidR="00516F9D" w:rsidRDefault="00000000">
      <w:pPr>
        <w:spacing w:after="80" w:line="269" w:lineRule="auto"/>
        <w:ind w:left="576" w:hanging="576"/>
      </w:pPr>
      <w:r>
        <w:t xml:space="preserve">2.  </w:t>
      </w:r>
      <w:r>
        <w:rPr>
          <w:b/>
        </w:rPr>
        <w:t>M. Sharma</w:t>
      </w:r>
      <w:r>
        <w:t xml:space="preserve">*, S. Punnathanam, A. G. Rajan* (2026), </w:t>
      </w:r>
      <w:hyperlink r:id="rId19" w:history="1">
        <w:r>
          <w:rPr>
            <w:i/>
            <w:color w:val="0000FF"/>
            <w:u w:val="single"/>
            <w:sz w:val="24"/>
            <w:szCs w:val="24"/>
          </w:rPr>
          <w:t>MLIP Studio: An Open Platform for Interactive Benchmarking and Atomistic Simulations Using Machine Learning Interatomic Potentials</w:t>
        </w:r>
      </w:hyperlink>
      <w:r>
        <w:t>, arXiv:2607.07606 (2026).</w:t>
      </w:r>
    </w:p>
    <w:p w14:paraId="1E757252" w14:textId="044EF646" w:rsidR="00516F9D" w:rsidRDefault="00000000">
      <w:pPr>
        <w:spacing w:after="40" w:line="264" w:lineRule="auto"/>
        <w:ind w:left="1123" w:hanging="317"/>
      </w:pPr>
      <w:r>
        <w:rPr>
          <w:sz w:val="21"/>
        </w:rPr>
        <w:t xml:space="preserve">•  </w:t>
      </w:r>
      <w:r>
        <w:rPr>
          <w:b/>
          <w:sz w:val="21"/>
        </w:rPr>
        <w:t>Special note:</w:t>
      </w:r>
      <w:r>
        <w:rPr>
          <w:sz w:val="21"/>
        </w:rPr>
        <w:t xml:space="preserve"> Co-corresponding author.</w:t>
      </w:r>
    </w:p>
    <w:p w14:paraId="4D5F7400" w14:textId="77777777" w:rsidR="00516F9D" w:rsidRDefault="00516F9D">
      <w:pPr>
        <w:spacing w:after="0" w:line="160" w:lineRule="exact"/>
      </w:pPr>
    </w:p>
    <w:p w14:paraId="3426BE4E" w14:textId="6D7D143E" w:rsidR="00516F9D" w:rsidRDefault="00000000">
      <w:pPr>
        <w:spacing w:after="80" w:line="269" w:lineRule="auto"/>
        <w:ind w:left="576" w:hanging="576"/>
      </w:pPr>
      <w:r>
        <w:t>3.  C. Sahoo</w:t>
      </w:r>
      <w:r w:rsidR="006136CC">
        <w:t>*</w:t>
      </w:r>
      <w:r>
        <w:t xml:space="preserve">, S. K. Chakraborty, A. Kousika, A. J. H. Jones, </w:t>
      </w:r>
      <w:r>
        <w:rPr>
          <w:b/>
        </w:rPr>
        <w:t>M. Sharma</w:t>
      </w:r>
      <w:r>
        <w:t>, T. S. Nielsen, Z. Jiang, I. A. Kolasseri, S. Das, M. D. Watson, C. Cacho, K. Watanabe, T. Taniguchi, Y. P. Chen, T. F. Heinz, A. G. Rajan, P. K. Sahoo, S. Ulstrup</w:t>
      </w:r>
      <w:r w:rsidR="006136CC">
        <w:t>*</w:t>
      </w:r>
      <w:r>
        <w:t xml:space="preserve"> (2026), </w:t>
      </w:r>
      <w:hyperlink r:id="rId20" w:history="1">
        <w:r>
          <w:rPr>
            <w:i/>
            <w:color w:val="0000FF"/>
            <w:u w:val="single"/>
            <w:sz w:val="24"/>
            <w:szCs w:val="24"/>
          </w:rPr>
          <w:t>Direct Nanoscale Mapping of Band Alignment in Single-Layer Semiconducting Lateral Heterojunctions</w:t>
        </w:r>
      </w:hyperlink>
      <w:r>
        <w:t xml:space="preserve">, Nano Letters </w:t>
      </w:r>
      <w:r>
        <w:rPr>
          <w:b/>
        </w:rPr>
        <w:t>26</w:t>
      </w:r>
      <w:r>
        <w:t>:15:5178–5186, DOI: 10.1021/acs.nanolett.6c00590.</w:t>
      </w:r>
    </w:p>
    <w:p w14:paraId="4D5F7400" w14:textId="77777777" w:rsidR="00516F9D" w:rsidRDefault="00516F9D">
      <w:pPr>
        <w:spacing w:after="0" w:line="160" w:lineRule="exact"/>
      </w:pPr>
    </w:p>
    <w:p w14:paraId="61F210A5" w14:textId="07F1B758" w:rsidR="00516F9D" w:rsidRDefault="00000000">
      <w:pPr>
        <w:spacing w:after="80" w:line="269" w:lineRule="auto"/>
        <w:ind w:left="576" w:hanging="576"/>
      </w:pPr>
      <w:r>
        <w:t xml:space="preserve">4.  V. Kumar, A. </w:t>
      </w:r>
      <w:proofErr w:type="spellStart"/>
      <w:r>
        <w:t>Jangid</w:t>
      </w:r>
      <w:r w:rsidR="00C20F8E" w:rsidRPr="00C20F8E">
        <w:rPr>
          <w:vertAlign w:val="superscript"/>
        </w:rPr>
        <w:t>T</w:t>
      </w:r>
      <w:proofErr w:type="spellEnd"/>
      <w:r>
        <w:t xml:space="preserve">, </w:t>
      </w:r>
      <w:r>
        <w:rPr>
          <w:b/>
        </w:rPr>
        <w:t xml:space="preserve">M. </w:t>
      </w:r>
      <w:proofErr w:type="spellStart"/>
      <w:r>
        <w:rPr>
          <w:b/>
        </w:rPr>
        <w:t>Sharma</w:t>
      </w:r>
      <w:r w:rsidR="00C20F8E" w:rsidRPr="00C20F8E">
        <w:rPr>
          <w:vertAlign w:val="superscript"/>
        </w:rPr>
        <w:t>T</w:t>
      </w:r>
      <w:proofErr w:type="spellEnd"/>
      <w:r>
        <w:t xml:space="preserve">, M. Verma, J. Pasyanthi, K. S. Kumar, P. Sharma, E. O. Chiglintsev, M. I. Panin, S. N. Punnathanam, A. I. Chernov, A. G. Rajan, A. Singh (2026), </w:t>
      </w:r>
      <w:hyperlink r:id="rId21" w:history="1">
        <w:r>
          <w:rPr>
            <w:i/>
            <w:color w:val="0000FF"/>
            <w:u w:val="single"/>
            <w:sz w:val="24"/>
            <w:szCs w:val="24"/>
          </w:rPr>
          <w:t>Tailored Vapor Deposition Unlocks Large-Grain, Wafer-Scale Epitaxial Growth of 2D Magnetic CrCl₃</w:t>
        </w:r>
      </w:hyperlink>
      <w:r>
        <w:t>, Advanced Materials 38:34:e14405 (2026), DOI: 10.1002/adma.202514405.</w:t>
      </w:r>
    </w:p>
    <w:p w14:paraId="1E757252" w14:textId="044EF646" w:rsidR="00516F9D" w:rsidRDefault="00000000">
      <w:pPr>
        <w:spacing w:after="40" w:line="264" w:lineRule="auto"/>
        <w:ind w:left="1123" w:hanging="317"/>
      </w:pPr>
      <w:r>
        <w:t xml:space="preserve">•  </w:t>
      </w:r>
      <w:r>
        <w:rPr>
          <w:b/>
          <w:sz w:val="21"/>
        </w:rPr>
        <w:t>Special note:</w:t>
      </w:r>
      <w:r>
        <w:rPr>
          <w:sz w:val="21"/>
        </w:rPr>
        <w:t xml:space="preserve"> Equal second authorship (denoted by ‘</w:t>
      </w:r>
      <w:r w:rsidR="00C20F8E" w:rsidRPr="00C20F8E">
        <w:rPr>
          <w:sz w:val="21"/>
          <w:vertAlign w:val="superscript"/>
        </w:rPr>
        <w:t>T</w:t>
      </w:r>
      <w:r>
        <w:rPr>
          <w:sz w:val="21"/>
        </w:rPr>
        <w:t>’).</w:t>
      </w:r>
    </w:p>
    <w:p w14:paraId="1AAF683E" w14:textId="681ADB52" w:rsidR="00516F9D" w:rsidRDefault="00000000">
      <w:pPr>
        <w:spacing w:after="40" w:line="264" w:lineRule="auto"/>
        <w:ind w:left="1123" w:hanging="317"/>
      </w:pPr>
      <w:r>
        <w:t xml:space="preserve">•  </w:t>
      </w:r>
      <w:hyperlink r:id="rId6" w:history="1">
        <w:r w:rsidR="00127F44" w:rsidRPr="00127F44">
          <w:rPr>
            <w:rStyle w:val="Hyperlink"/>
            <w:bCs/>
            <w:sz w:val="21"/>
          </w:rPr>
          <w:t>Featured on IISc News</w:t>
        </w:r>
      </w:hyperlink>
    </w:p>
    <w:p w14:paraId="563ECBB1" w14:textId="77777777" w:rsidR="00516F9D" w:rsidRDefault="00516F9D">
      <w:pPr>
        <w:spacing w:after="0" w:line="160" w:lineRule="exact"/>
      </w:pPr>
    </w:p>
    <w:p w14:paraId="421935D8" w14:textId="7ED092CA" w:rsidR="00516F9D" w:rsidRDefault="00000000">
      <w:pPr>
        <w:spacing w:after="80" w:line="269" w:lineRule="auto"/>
        <w:ind w:left="576" w:hanging="576"/>
      </w:pPr>
      <w:r>
        <w:t xml:space="preserve">5.  </w:t>
      </w:r>
      <w:r>
        <w:rPr>
          <w:b/>
        </w:rPr>
        <w:t>M. Sharma</w:t>
      </w:r>
      <w:r>
        <w:t xml:space="preserve">*, M. Sierka* (2026), </w:t>
      </w:r>
      <w:hyperlink r:id="rId17" w:history="1">
        <w:r>
          <w:rPr>
            <w:i/>
            <w:color w:val="0000FF"/>
            <w:u w:val="single"/>
            <w:sz w:val="24"/>
            <w:szCs w:val="24"/>
          </w:rPr>
          <w:t>PyFock: A Just-In-Time Compiled Gaussian Basis DFT Python Code for CPU and GPU Architectures</w:t>
        </w:r>
      </w:hyperlink>
      <w:r>
        <w:t>, The Journal of Physical Chemistry A (2026), DOI: 10.1021/acs.jpca.6c03727.</w:t>
      </w:r>
    </w:p>
    <w:p w14:paraId="5C337290" w14:textId="07D92011" w:rsidR="00516F9D" w:rsidRDefault="00000000">
      <w:pPr>
        <w:spacing w:after="40" w:line="264" w:lineRule="auto"/>
        <w:ind w:left="1123" w:hanging="317"/>
      </w:pPr>
      <w:r>
        <w:t xml:space="preserve">•  </w:t>
      </w:r>
      <w:r>
        <w:rPr>
          <w:b/>
          <w:sz w:val="21"/>
        </w:rPr>
        <w:t>Special note:</w:t>
      </w:r>
      <w:r>
        <w:rPr>
          <w:sz w:val="21"/>
        </w:rPr>
        <w:t xml:space="preserve"> </w:t>
      </w:r>
      <w:r w:rsidR="00172975">
        <w:rPr>
          <w:sz w:val="21"/>
        </w:rPr>
        <w:t>Co-corresponding author</w:t>
      </w:r>
      <w:r>
        <w:rPr>
          <w:sz w:val="21"/>
        </w:rPr>
        <w:t>.</w:t>
      </w:r>
    </w:p>
    <w:p w14:paraId="3CBEE903" w14:textId="0F8D3800" w:rsidR="00516F9D" w:rsidRDefault="00000000">
      <w:pPr>
        <w:spacing w:after="40" w:line="264" w:lineRule="auto"/>
        <w:ind w:left="1123" w:hanging="317"/>
      </w:pPr>
      <w:r>
        <w:t xml:space="preserve">•  </w:t>
      </w:r>
      <w:r>
        <w:rPr>
          <w:b/>
          <w:sz w:val="21"/>
        </w:rPr>
        <w:t>Project:</w:t>
      </w:r>
      <w:r>
        <w:rPr>
          <w:sz w:val="21"/>
        </w:rPr>
        <w:t xml:space="preserve"> </w:t>
      </w:r>
      <w:hyperlink r:id="rId7" w:history="1">
        <w:r w:rsidR="00516F9D" w:rsidRPr="006154DE">
          <w:rPr>
            <w:rStyle w:val="Hyperlink"/>
            <w:sz w:val="21"/>
          </w:rPr>
          <w:t>https://github.com/manassharma07/PyFock</w:t>
        </w:r>
      </w:hyperlink>
      <w:r>
        <w:rPr>
          <w:sz w:val="21"/>
        </w:rPr>
        <w:t xml:space="preserve"> (</w:t>
      </w:r>
      <w:r w:rsidR="00AA579D">
        <w:rPr>
          <w:sz w:val="21"/>
        </w:rPr>
        <w:t xml:space="preserve">alternatively: </w:t>
      </w:r>
      <w:hyperlink r:id="rId8" w:history="1">
        <w:r w:rsidR="006154DE" w:rsidRPr="005C336D">
          <w:rPr>
            <w:rStyle w:val="Hyperlink"/>
            <w:sz w:val="21"/>
          </w:rPr>
          <w:t>https://pyfock.bragitoff.com</w:t>
        </w:r>
      </w:hyperlink>
      <w:r>
        <w:rPr>
          <w:sz w:val="21"/>
        </w:rPr>
        <w:t>).</w:t>
      </w:r>
    </w:p>
    <w:p w14:paraId="02FDE4BF" w14:textId="77777777" w:rsidR="00516F9D" w:rsidRDefault="00516F9D">
      <w:pPr>
        <w:spacing w:after="0" w:line="160" w:lineRule="exact"/>
      </w:pPr>
    </w:p>
    <w:p w14:paraId="613D1FE4" w14:textId="3AA877AD" w:rsidR="00516F9D" w:rsidRDefault="00000000">
      <w:pPr>
        <w:spacing w:after="80" w:line="269" w:lineRule="auto"/>
        <w:ind w:left="576" w:hanging="576"/>
      </w:pPr>
      <w:r>
        <w:t xml:space="preserve">6.  </w:t>
      </w:r>
      <w:r>
        <w:rPr>
          <w:b/>
        </w:rPr>
        <w:t>M. Sharma</w:t>
      </w:r>
      <w:r>
        <w:t>, Y. J. Franzke, C. Holzer, F. Pauly, M. Sierka</w:t>
      </w:r>
      <w:r w:rsidR="006136CC">
        <w:t>*</w:t>
      </w:r>
      <w:r>
        <w:t xml:space="preserve"> (2025), </w:t>
      </w:r>
      <w:hyperlink r:id="rId22" w:history="1">
        <w:r>
          <w:rPr>
            <w:i/>
            <w:color w:val="0000FF"/>
            <w:u w:val="single"/>
            <w:sz w:val="24"/>
            <w:szCs w:val="24"/>
          </w:rPr>
          <w:t>Density Functional Theory for Molecular and Periodic Systems in TURBOMOLE: Theory, Implementation, and Applications</w:t>
        </w:r>
      </w:hyperlink>
      <w:r>
        <w:t xml:space="preserve">, Journal of Physical Chemistry A </w:t>
      </w:r>
      <w:r>
        <w:rPr>
          <w:b/>
        </w:rPr>
        <w:t>129</w:t>
      </w:r>
      <w:r>
        <w:t>:39:9062–9083, DOI: 10.1021/acs.jpca.5c02937.</w:t>
      </w:r>
    </w:p>
    <w:p w14:paraId="00FD69FE" w14:textId="55E13FE9" w:rsidR="00516F9D" w:rsidRDefault="00000000">
      <w:pPr>
        <w:spacing w:after="40" w:line="264" w:lineRule="auto"/>
        <w:ind w:left="1123" w:hanging="317"/>
      </w:pPr>
      <w:r>
        <w:t xml:space="preserve">•  </w:t>
      </w:r>
      <w:r>
        <w:rPr>
          <w:b/>
          <w:sz w:val="21"/>
        </w:rPr>
        <w:t>Special note:</w:t>
      </w:r>
      <w:r>
        <w:rPr>
          <w:sz w:val="21"/>
        </w:rPr>
        <w:t xml:space="preserve"> </w:t>
      </w:r>
      <w:hyperlink r:id="rId9" w:history="1">
        <w:r w:rsidR="00516F9D" w:rsidRPr="00C26E9D">
          <w:rPr>
            <w:rStyle w:val="Hyperlink"/>
            <w:sz w:val="21"/>
          </w:rPr>
          <w:t>In the list of 20 most read articles in the last 12 months of JPC A</w:t>
        </w:r>
      </w:hyperlink>
      <w:r w:rsidR="00BE160C">
        <w:rPr>
          <w:sz w:val="21"/>
        </w:rPr>
        <w:t>.</w:t>
      </w:r>
    </w:p>
    <w:p w14:paraId="14D7D891" w14:textId="77777777" w:rsidR="00516F9D" w:rsidRDefault="00516F9D">
      <w:pPr>
        <w:spacing w:after="0" w:line="160" w:lineRule="exact"/>
      </w:pPr>
    </w:p>
    <w:p w14:paraId="379BFB5C" w14:textId="77777777" w:rsidR="00516F9D" w:rsidRDefault="00000000">
      <w:pPr>
        <w:spacing w:after="80" w:line="269" w:lineRule="auto"/>
        <w:ind w:left="576" w:hanging="576"/>
      </w:pPr>
      <w:r>
        <w:t xml:space="preserve">7.  </w:t>
      </w:r>
      <w:r>
        <w:rPr>
          <w:b/>
        </w:rPr>
        <w:t>M. Sharma</w:t>
      </w:r>
      <w:r>
        <w:t xml:space="preserve">, M. Sierka (2024), </w:t>
      </w:r>
      <w:hyperlink r:id="rId23" w:history="1">
        <w:r>
          <w:rPr>
            <w:i/>
            <w:color w:val="0000FF"/>
            <w:u w:val="single"/>
            <w:sz w:val="24"/>
            <w:szCs w:val="24"/>
          </w:rPr>
          <w:t>Optical Gaps of Ionic Materials from GW/BSE-in-DFT and CC2-in-DFT</w:t>
        </w:r>
      </w:hyperlink>
      <w:r>
        <w:t xml:space="preserve">, Journal of Chemical Theory and Computation </w:t>
      </w:r>
      <w:r>
        <w:rPr>
          <w:b/>
        </w:rPr>
        <w:t>20</w:t>
      </w:r>
      <w:r>
        <w:t>:21:9592–9605, DOI: 10.1021/acs.jctc.4c00819.</w:t>
      </w:r>
    </w:p>
    <w:p w14:paraId="7606BEBD" w14:textId="77777777" w:rsidR="00516F9D" w:rsidRDefault="00000000">
      <w:pPr>
        <w:spacing w:after="40" w:line="264" w:lineRule="auto"/>
        <w:ind w:left="1123" w:hanging="317"/>
      </w:pPr>
      <w:r>
        <w:t xml:space="preserve">•  </w:t>
      </w:r>
      <w:r>
        <w:rPr>
          <w:b/>
          <w:sz w:val="21"/>
        </w:rPr>
        <w:t>Special note:</w:t>
      </w:r>
      <w:r>
        <w:rPr>
          <w:sz w:val="21"/>
        </w:rPr>
        <w:t xml:space="preserve"> In the list of 20 most read articles for the months of November and December (2024).</w:t>
      </w:r>
    </w:p>
    <w:p w14:paraId="7BD057BC" w14:textId="77777777" w:rsidR="00516F9D" w:rsidRDefault="00516F9D">
      <w:pPr>
        <w:spacing w:after="0" w:line="160" w:lineRule="exact"/>
      </w:pPr>
    </w:p>
    <w:p w14:paraId="02C2C9E7" w14:textId="327481E8" w:rsidR="00516F9D" w:rsidRDefault="00000000">
      <w:pPr>
        <w:spacing w:after="80" w:line="269" w:lineRule="auto"/>
        <w:ind w:left="576" w:hanging="576"/>
      </w:pPr>
      <w:r>
        <w:t xml:space="preserve">8.  Y. J. Franzke, C. Holzer, J. H. Andersen, T. Begušić, F. Bruder, S. Coriani, F. Della Sala, E. Fabiano, D. A. Fedotov, S. Fürst, S. Gillhuber, R. Grotjahn, M. Kaupp, M. Kehry, M. Krstić, F. Mack, S. Majumdar, B. D. Nguyen, A. Pausch, E. Perlt, G. S. Phun, A. Rajabi, D. Rappoport, B. Samal, T. Schrader, </w:t>
      </w:r>
      <w:r>
        <w:rPr>
          <w:b/>
        </w:rPr>
        <w:t>M. Sharma</w:t>
      </w:r>
      <w:r>
        <w:t>, E. Tapavicza, R. S. Treß, V. Voora, A. Wodyński, J. M. Yu, B. Zerulla, F. Furche</w:t>
      </w:r>
      <w:r w:rsidR="006136CC">
        <w:t>*</w:t>
      </w:r>
      <w:r>
        <w:t xml:space="preserve">, C. </w:t>
      </w:r>
      <w:proofErr w:type="spellStart"/>
      <w:r>
        <w:t>Hättig</w:t>
      </w:r>
      <w:proofErr w:type="spellEnd"/>
      <w:r w:rsidR="006136CC">
        <w:t>*</w:t>
      </w:r>
      <w:r>
        <w:t>, M. Sierka</w:t>
      </w:r>
      <w:r w:rsidR="006136CC">
        <w:t>*</w:t>
      </w:r>
      <w:r>
        <w:t>, D. P. Tew</w:t>
      </w:r>
      <w:r w:rsidR="006136CC">
        <w:t>*</w:t>
      </w:r>
      <w:r>
        <w:t xml:space="preserve">, F. </w:t>
      </w:r>
      <w:proofErr w:type="spellStart"/>
      <w:r>
        <w:t>Weigend</w:t>
      </w:r>
      <w:proofErr w:type="spellEnd"/>
      <w:r w:rsidR="006136CC">
        <w:t>*</w:t>
      </w:r>
      <w:r>
        <w:t xml:space="preserve"> (2023), </w:t>
      </w:r>
      <w:hyperlink r:id="rId24" w:history="1">
        <w:r>
          <w:rPr>
            <w:i/>
            <w:color w:val="0000FF"/>
            <w:u w:val="single"/>
            <w:sz w:val="24"/>
            <w:szCs w:val="24"/>
          </w:rPr>
          <w:t>TURBOMOLE: Today and Tomorrow</w:t>
        </w:r>
      </w:hyperlink>
      <w:r>
        <w:t xml:space="preserve">, Journal of Chemical Theory and Computation </w:t>
      </w:r>
      <w:r>
        <w:rPr>
          <w:b/>
        </w:rPr>
        <w:t>19</w:t>
      </w:r>
      <w:r>
        <w:t>:20:6859–6890, DOI: 10.1021/acs.jctc.3c00347.</w:t>
      </w:r>
    </w:p>
    <w:p w14:paraId="05C8471D" w14:textId="77777777" w:rsidR="00516F9D" w:rsidRDefault="00000000">
      <w:pPr>
        <w:spacing w:after="40" w:line="264" w:lineRule="auto"/>
        <w:ind w:left="1123" w:hanging="317"/>
      </w:pPr>
      <w:r>
        <w:t xml:space="preserve">•  </w:t>
      </w:r>
      <w:r>
        <w:rPr>
          <w:b/>
          <w:sz w:val="21"/>
        </w:rPr>
        <w:t>Special note:</w:t>
      </w:r>
      <w:r>
        <w:rPr>
          <w:sz w:val="21"/>
        </w:rPr>
        <w:t xml:space="preserve"> Highly Cited and Read Paper.</w:t>
      </w:r>
    </w:p>
    <w:p w14:paraId="6F5CCCBF" w14:textId="38A7BD28" w:rsidR="00516F9D" w:rsidRDefault="00000000">
      <w:pPr>
        <w:spacing w:after="40" w:line="264" w:lineRule="auto"/>
        <w:ind w:left="1123" w:hanging="317"/>
      </w:pPr>
      <w:r>
        <w:t xml:space="preserve">•  </w:t>
      </w:r>
      <w:r>
        <w:rPr>
          <w:b/>
          <w:sz w:val="21"/>
        </w:rPr>
        <w:t xml:space="preserve">Authorship </w:t>
      </w:r>
      <w:proofErr w:type="gramStart"/>
      <w:r>
        <w:rPr>
          <w:b/>
          <w:sz w:val="21"/>
        </w:rPr>
        <w:t>note</w:t>
      </w:r>
      <w:proofErr w:type="gramEnd"/>
      <w:r>
        <w:rPr>
          <w:b/>
          <w:sz w:val="21"/>
        </w:rPr>
        <w:t>:</w:t>
      </w:r>
      <w:r>
        <w:rPr>
          <w:sz w:val="21"/>
        </w:rPr>
        <w:t xml:space="preserve"> Except for the first two and the last five authors, author ordering was determined alphabetically</w:t>
      </w:r>
      <w:r w:rsidR="00131907">
        <w:rPr>
          <w:sz w:val="21"/>
        </w:rPr>
        <w:t>, so</w:t>
      </w:r>
      <w:r>
        <w:rPr>
          <w:sz w:val="21"/>
        </w:rPr>
        <w:t xml:space="preserve"> </w:t>
      </w:r>
      <w:r w:rsidRPr="00AF1F81">
        <w:rPr>
          <w:b/>
          <w:bCs/>
          <w:sz w:val="21"/>
        </w:rPr>
        <w:t>equal third authorship</w:t>
      </w:r>
      <w:r>
        <w:rPr>
          <w:sz w:val="21"/>
        </w:rPr>
        <w:t>.</w:t>
      </w:r>
    </w:p>
    <w:p w14:paraId="5627A87A" w14:textId="77777777" w:rsidR="00516F9D" w:rsidRDefault="00516F9D">
      <w:pPr>
        <w:spacing w:after="0" w:line="160" w:lineRule="exact"/>
      </w:pPr>
    </w:p>
    <w:p w14:paraId="4A773480" w14:textId="727E71F3" w:rsidR="00516F9D" w:rsidRDefault="00000000">
      <w:pPr>
        <w:spacing w:after="80" w:line="269" w:lineRule="auto"/>
        <w:ind w:left="576" w:hanging="576"/>
      </w:pPr>
      <w:r>
        <w:t xml:space="preserve">9.  W. Li, A. Saleh, </w:t>
      </w:r>
      <w:r>
        <w:rPr>
          <w:b/>
        </w:rPr>
        <w:t>M. Sharma</w:t>
      </w:r>
      <w:r>
        <w:t>, C. Hünecke, M. Sierka, M. Neuhaus, L. Hedewig, B. Bergues, M. Alharbi, H. ALQahtani, A. M. Azeer, S. Graefe, M. F. Kling, A. F. Alharbi, Z. Wang</w:t>
      </w:r>
      <w:r w:rsidR="006136CC">
        <w:t>*</w:t>
      </w:r>
      <w:r>
        <w:t xml:space="preserve"> (2023), </w:t>
      </w:r>
      <w:hyperlink r:id="rId25" w:history="1">
        <w:r>
          <w:rPr>
            <w:i/>
            <w:color w:val="0000FF"/>
            <w:u w:val="single"/>
            <w:sz w:val="24"/>
            <w:szCs w:val="24"/>
          </w:rPr>
          <w:t>Resonance Effect in Brunel Harmonic Generation in Thin Film Organic Semiconductors</w:t>
        </w:r>
      </w:hyperlink>
      <w:r>
        <w:t xml:space="preserve">, Advanced Optical Materials </w:t>
      </w:r>
      <w:r>
        <w:rPr>
          <w:b/>
        </w:rPr>
        <w:t>11</w:t>
      </w:r>
      <w:r>
        <w:t>:16:2203070, DOI: 10.1002/adom.202203070.</w:t>
      </w:r>
    </w:p>
    <w:p w14:paraId="5A25E6B8" w14:textId="77777777" w:rsidR="00516F9D" w:rsidRDefault="00000000">
      <w:pPr>
        <w:spacing w:after="40" w:line="264" w:lineRule="auto"/>
        <w:ind w:left="1123" w:hanging="317"/>
      </w:pPr>
      <w:r>
        <w:t xml:space="preserve">•  </w:t>
      </w:r>
      <w:r>
        <w:rPr>
          <w:b/>
          <w:sz w:val="21"/>
        </w:rPr>
        <w:t>Special note:</w:t>
      </w:r>
      <w:r>
        <w:rPr>
          <w:sz w:val="21"/>
        </w:rPr>
        <w:t xml:space="preserve"> On Journal Cover (see Figure 1).</w:t>
      </w:r>
    </w:p>
    <w:p w14:paraId="7B1100F9" w14:textId="77777777" w:rsidR="00516F9D" w:rsidRDefault="00516F9D">
      <w:pPr>
        <w:spacing w:after="0" w:line="160" w:lineRule="exact"/>
      </w:pPr>
    </w:p>
    <w:p w14:paraId="565F5262" w14:textId="77E678FA" w:rsidR="00516F9D" w:rsidRDefault="00000000">
      <w:pPr>
        <w:spacing w:after="80" w:line="269" w:lineRule="auto"/>
        <w:ind w:left="576" w:hanging="576"/>
      </w:pPr>
      <w:r>
        <w:t xml:space="preserve">10.  </w:t>
      </w:r>
      <w:r>
        <w:rPr>
          <w:b/>
        </w:rPr>
        <w:t>M. Sharma</w:t>
      </w:r>
      <w:r>
        <w:t>, M. Sierka</w:t>
      </w:r>
      <w:r w:rsidR="006136CC">
        <w:t>*</w:t>
      </w:r>
      <w:r>
        <w:t xml:space="preserve"> (2022), </w:t>
      </w:r>
      <w:hyperlink r:id="rId26" w:history="1">
        <w:r>
          <w:rPr>
            <w:i/>
            <w:color w:val="0000FF"/>
            <w:u w:val="single"/>
            <w:sz w:val="24"/>
            <w:szCs w:val="24"/>
          </w:rPr>
          <w:t>Efficient Implementation of Density Functional Theory based Embedding for Molecular and Periodic Systems using Gaussian Basis Functions</w:t>
        </w:r>
      </w:hyperlink>
      <w:r>
        <w:t xml:space="preserve">, Journal of Chemical Theory and Computation </w:t>
      </w:r>
      <w:r>
        <w:rPr>
          <w:b/>
        </w:rPr>
        <w:t>18</w:t>
      </w:r>
      <w:r>
        <w:t>:11:6892–6904, DOI: 10.1021/acs.jctc.2c00380.</w:t>
      </w:r>
    </w:p>
    <w:p w14:paraId="21E85218" w14:textId="77777777" w:rsidR="00516F9D" w:rsidRDefault="00000000">
      <w:pPr>
        <w:spacing w:after="40" w:line="264" w:lineRule="auto"/>
        <w:ind w:left="1123" w:hanging="317"/>
      </w:pPr>
      <w:r>
        <w:t xml:space="preserve">•  </w:t>
      </w:r>
      <w:r>
        <w:rPr>
          <w:b/>
          <w:sz w:val="21"/>
        </w:rPr>
        <w:t>Special note:</w:t>
      </w:r>
      <w:r>
        <w:rPr>
          <w:sz w:val="21"/>
        </w:rPr>
        <w:t xml:space="preserve"> On Supplementary Journal Cover (see Figure 1).</w:t>
      </w:r>
    </w:p>
    <w:p w14:paraId="68A22A0C" w14:textId="77777777" w:rsidR="00516F9D" w:rsidRDefault="00516F9D">
      <w:pPr>
        <w:spacing w:after="0" w:line="160" w:lineRule="exact"/>
      </w:pPr>
    </w:p>
    <w:p w14:paraId="30340B91" w14:textId="5FBBF8D8" w:rsidR="00516F9D" w:rsidRDefault="00000000">
      <w:pPr>
        <w:spacing w:after="80" w:line="269" w:lineRule="auto"/>
        <w:ind w:left="576" w:hanging="576"/>
      </w:pPr>
      <w:r>
        <w:t xml:space="preserve">11.  C. Müller, </w:t>
      </w:r>
      <w:r>
        <w:rPr>
          <w:b/>
        </w:rPr>
        <w:t>M. Sharma</w:t>
      </w:r>
      <w:r>
        <w:t>, M. Sierka</w:t>
      </w:r>
      <w:r w:rsidR="006136CC">
        <w:t>*</w:t>
      </w:r>
      <w:r>
        <w:t xml:space="preserve"> (2020), </w:t>
      </w:r>
      <w:hyperlink r:id="rId27" w:history="1">
        <w:r>
          <w:rPr>
            <w:i/>
            <w:color w:val="0000FF"/>
            <w:u w:val="single"/>
            <w:sz w:val="24"/>
            <w:szCs w:val="24"/>
          </w:rPr>
          <w:t>Real-Time Time-Dependent Density Functional Theory using Density Fitting and the Continuous Fast Multipole Method</w:t>
        </w:r>
      </w:hyperlink>
      <w:r>
        <w:t xml:space="preserve">, Journal of Computational Chemistry </w:t>
      </w:r>
      <w:r>
        <w:rPr>
          <w:b/>
        </w:rPr>
        <w:t>41</w:t>
      </w:r>
      <w:r>
        <w:t>:30:2573–2582, DOI: 10.1002/jcc.26412.</w:t>
      </w:r>
    </w:p>
    <w:p w14:paraId="57AC8128" w14:textId="77777777" w:rsidR="00516F9D" w:rsidRDefault="00516F9D">
      <w:pPr>
        <w:spacing w:after="0" w:line="160" w:lineRule="exact"/>
      </w:pPr>
    </w:p>
    <w:p w14:paraId="0FE3C050" w14:textId="49465135" w:rsidR="00516F9D" w:rsidRDefault="00000000">
      <w:pPr>
        <w:spacing w:after="80" w:line="269" w:lineRule="auto"/>
        <w:ind w:left="576" w:hanging="576"/>
      </w:pPr>
      <w:r>
        <w:t xml:space="preserve">12.  </w:t>
      </w:r>
      <w:r>
        <w:rPr>
          <w:b/>
        </w:rPr>
        <w:t>M. Sharma</w:t>
      </w:r>
      <w:r>
        <w:t>, D. Mishra</w:t>
      </w:r>
      <w:r w:rsidR="006136CC">
        <w:t>*</w:t>
      </w:r>
      <w:r>
        <w:t xml:space="preserve"> (2019), </w:t>
      </w:r>
      <w:proofErr w:type="spellStart"/>
      <w:hyperlink r:id="rId28" w:history="1">
        <w:r>
          <w:rPr>
            <w:i/>
            <w:color w:val="0000FF"/>
            <w:u w:val="single"/>
            <w:sz w:val="24"/>
            <w:szCs w:val="24"/>
          </w:rPr>
          <w:t>CrysX</w:t>
        </w:r>
        <w:r>
          <w:rPr>
            <w:i/>
            <w:color w:val="0000FF"/>
            <w:u w:val="single"/>
            <w:sz w:val="24"/>
            <w:szCs w:val="24"/>
          </w:rPr>
          <w:t>: Crystallographic Tools for the Android Platform</w:t>
        </w:r>
      </w:hyperlink>
      <w:proofErr w:type="spellEnd"/>
      <w:r>
        <w:t xml:space="preserve">, Journal of Applied Crystallography </w:t>
      </w:r>
      <w:r>
        <w:rPr>
          <w:b/>
        </w:rPr>
        <w:t>52</w:t>
      </w:r>
      <w:r>
        <w:t>:6:1449–1454, DOI: 10.1107/S1600576719013682.</w:t>
      </w:r>
    </w:p>
    <w:p w14:paraId="2F557C4E" w14:textId="77777777" w:rsidR="00516F9D" w:rsidRDefault="00000000">
      <w:pPr>
        <w:spacing w:after="40" w:line="264" w:lineRule="auto"/>
        <w:ind w:left="1123" w:hanging="317"/>
      </w:pPr>
      <w:r>
        <w:t xml:space="preserve">•  </w:t>
      </w:r>
      <w:r>
        <w:rPr>
          <w:b/>
          <w:sz w:val="21"/>
        </w:rPr>
        <w:t>Special note:</w:t>
      </w:r>
      <w:r>
        <w:rPr>
          <w:sz w:val="21"/>
        </w:rPr>
        <w:t xml:space="preserve"> Highly Downloaded Paper.</w:t>
      </w:r>
    </w:p>
    <w:p w14:paraId="7D8E7B7F" w14:textId="77777777" w:rsidR="00516F9D" w:rsidRDefault="00000000">
      <w:pPr>
        <w:spacing w:after="40" w:line="264" w:lineRule="auto"/>
        <w:ind w:left="1123" w:hanging="317"/>
      </w:pPr>
      <w:r>
        <w:t xml:space="preserve">•  </w:t>
      </w:r>
      <w:r>
        <w:rPr>
          <w:b/>
          <w:sz w:val="21"/>
        </w:rPr>
        <w:t>Journal cover:</w:t>
      </w:r>
      <w:r>
        <w:rPr>
          <w:sz w:val="21"/>
        </w:rPr>
        <w:t xml:space="preserve"> Featured on the journal cover (see Figure 1).</w:t>
      </w:r>
    </w:p>
    <w:p w14:paraId="5E24BC0F" w14:textId="77777777" w:rsidR="00516F9D" w:rsidRDefault="00516F9D">
      <w:pPr>
        <w:spacing w:after="0" w:line="160" w:lineRule="exact"/>
      </w:pPr>
    </w:p>
    <w:p w14:paraId="424F6E21" w14:textId="29A636D2" w:rsidR="00516F9D" w:rsidRDefault="00000000">
      <w:pPr>
        <w:spacing w:after="80" w:line="269" w:lineRule="auto"/>
        <w:ind w:left="576" w:hanging="576"/>
      </w:pPr>
      <w:r>
        <w:t xml:space="preserve">13.  </w:t>
      </w:r>
      <w:r>
        <w:rPr>
          <w:b/>
        </w:rPr>
        <w:t>M. Sharma</w:t>
      </w:r>
      <w:r>
        <w:t>, D. Mishra</w:t>
      </w:r>
      <w:r w:rsidR="006136CC">
        <w:t>*</w:t>
      </w:r>
      <w:r>
        <w:t xml:space="preserve">, J. Kumar (2019), </w:t>
      </w:r>
      <w:hyperlink r:id="rId29" w:history="1">
        <w:r>
          <w:rPr>
            <w:i/>
            <w:color w:val="0000FF"/>
            <w:u w:val="single"/>
            <w:sz w:val="24"/>
            <w:szCs w:val="24"/>
          </w:rPr>
          <w:t>First-principles Study of the Structural and Electronic Properties of Bulk ZnS and Small Zn</w:t>
        </w:r>
        <w:r>
          <w:rPr>
            <w:i/>
            <w:vertAlign w:val="subscript"/>
            <w:color w:val="0000FF"/>
            <w:u w:val="single"/>
            <w:sz w:val="24"/>
            <w:szCs w:val="24"/>
          </w:rPr>
          <w:t>n</w:t>
        </w:r>
        <w:r>
          <w:rPr>
            <w:i/>
            <w:color w:val="0000FF"/>
            <w:u w:val="single"/>
            <w:sz w:val="24"/>
            <w:szCs w:val="24"/>
          </w:rPr>
          <w:t>S</w:t>
        </w:r>
        <w:r>
          <w:rPr>
            <w:i/>
            <w:vertAlign w:val="subscript"/>
            <w:color w:val="0000FF"/>
            <w:u w:val="single"/>
            <w:sz w:val="24"/>
            <w:szCs w:val="24"/>
          </w:rPr>
          <w:t>n</w:t>
        </w:r>
        <w:r>
          <w:rPr>
            <w:i/>
            <w:color w:val="0000FF"/>
            <w:u w:val="single"/>
            <w:sz w:val="24"/>
            <w:szCs w:val="24"/>
          </w:rPr>
          <w:t xml:space="preserve"> Nanoclusters in the Framework of the DFT+U Method</w:t>
        </w:r>
      </w:hyperlink>
      <w:r>
        <w:t xml:space="preserve">, Physical Review B </w:t>
      </w:r>
      <w:r>
        <w:rPr>
          <w:b/>
        </w:rPr>
        <w:t>100</w:t>
      </w:r>
      <w:r>
        <w:t>:045151, DOI: 10.1103/PhysRevB.100.045151.</w:t>
      </w:r>
    </w:p>
    <w:p w14:paraId="7C40CA4A" w14:textId="77777777" w:rsidR="00516F9D" w:rsidRDefault="00516F9D">
      <w:pPr>
        <w:spacing w:after="0" w:line="160" w:lineRule="exact"/>
      </w:pPr>
    </w:p>
    <w:p w14:paraId="5C9D8512" w14:textId="6891E496" w:rsidR="00516F9D" w:rsidRDefault="00000000">
      <w:pPr>
        <w:spacing w:after="80" w:line="269" w:lineRule="auto"/>
        <w:ind w:left="576" w:hanging="576"/>
      </w:pPr>
      <w:r>
        <w:t xml:space="preserve">14.  </w:t>
      </w:r>
      <w:r>
        <w:rPr>
          <w:b/>
        </w:rPr>
        <w:t>M. Sharma</w:t>
      </w:r>
      <w:r>
        <w:t>, D. Mishra</w:t>
      </w:r>
      <w:r w:rsidR="006136CC">
        <w:t>*</w:t>
      </w:r>
      <w:r>
        <w:t xml:space="preserve"> (2019), </w:t>
      </w:r>
      <w:hyperlink r:id="rId30" w:history="1">
        <w:r>
          <w:rPr>
            <w:i/>
            <w:color w:val="0000FF"/>
            <w:u w:val="single"/>
            <w:sz w:val="24"/>
            <w:szCs w:val="24"/>
          </w:rPr>
          <w:t>DFT+U Study of Small ZnO Nanoclusters</w:t>
        </w:r>
      </w:hyperlink>
      <w:r>
        <w:t xml:space="preserve">, AIP Conference Proceedings </w:t>
      </w:r>
      <w:r>
        <w:rPr>
          <w:b/>
        </w:rPr>
        <w:t>2142</w:t>
      </w:r>
      <w:r>
        <w:t>:110025, DOI: 10.1063/1.5122485.</w:t>
      </w:r>
    </w:p>
    <w:p w14:paraId="2206FE0D" w14:textId="77777777" w:rsidR="00516F9D" w:rsidRDefault="00000000">
      <w:pPr>
        <w:spacing w:after="40" w:line="264" w:lineRule="auto"/>
        <w:ind w:left="1123" w:hanging="317"/>
      </w:pPr>
      <w:r>
        <w:t xml:space="preserve">•  </w:t>
      </w:r>
      <w:r>
        <w:rPr>
          <w:b/>
          <w:sz w:val="21"/>
        </w:rPr>
        <w:t>Special note:</w:t>
      </w:r>
      <w:r>
        <w:rPr>
          <w:sz w:val="21"/>
        </w:rPr>
        <w:t xml:space="preserve"> Conference publication.</w:t>
      </w:r>
    </w:p>
    <w:p w14:paraId="7EF4535C" w14:textId="77777777" w:rsidR="00516F9D" w:rsidRDefault="00000000">
      <w:r>
        <w:br w:type="page"/>
      </w:r>
    </w:p>
    <w:p w14:paraId="7E2EEEE6" w14:textId="77777777" w:rsidR="00516F9D" w:rsidRDefault="00000000">
      <w:r>
        <w:rPr>
          <w:b/>
          <w:sz w:val="30"/>
        </w:rPr>
        <w:lastRenderedPageBreak/>
        <w:t>Journal Covers &amp; Google Scholar Link</w:t>
      </w:r>
    </w:p>
    <w:p w14:paraId="698FEA4F" w14:textId="77777777" w:rsidR="00516F9D" w:rsidRDefault="00000000">
      <w:pPr>
        <w:spacing w:after="280"/>
      </w:pPr>
      <w:r>
        <w:rPr>
          <w:b/>
        </w:rPr>
        <w:t xml:space="preserve">Google Scholar profile: </w:t>
      </w:r>
      <w:hyperlink r:id="rId10">
        <w:r w:rsidR="00516F9D">
          <w:rPr>
            <w:color w:val="1155CC"/>
            <w:u w:val="single"/>
          </w:rPr>
          <w:t>https://scholar.google.com/citations?user=WYOEL94AAAAJ</w:t>
        </w:r>
      </w:hyperlink>
    </w:p>
    <w:tbl>
      <w:tblPr>
        <w:tblW w:w="0" w:type="auto"/>
        <w:jc w:val="center"/>
        <w:tblLook w:val="04A0" w:firstRow="1" w:lastRow="0" w:firstColumn="1" w:lastColumn="0" w:noHBand="0" w:noVBand="1"/>
      </w:tblPr>
      <w:tblGrid>
        <w:gridCol w:w="3120"/>
        <w:gridCol w:w="3120"/>
        <w:gridCol w:w="3120"/>
      </w:tblGrid>
      <w:tr w:rsidR="00516F9D" w14:paraId="5324154F" w14:textId="77777777">
        <w:trPr>
          <w:jc w:val="center"/>
        </w:trPr>
        <w:tc>
          <w:tcPr>
            <w:tcW w:w="3120" w:type="dxa"/>
            <w:tcBorders>
              <w:top w:val="nil"/>
              <w:left w:val="nil"/>
              <w:bottom w:val="nil"/>
              <w:right w:val="nil"/>
            </w:tcBorders>
          </w:tcPr>
          <w:p w14:paraId="511CC32C" w14:textId="373ACE78" w:rsidR="00516F9D" w:rsidRDefault="00D33018">
            <w:pPr>
              <w:jc w:val="center"/>
            </w:pPr>
            <w:r>
              <w:rPr>
                <w:noProof/>
              </w:rPr>
              <w:drawing>
                <wp:inline distT="0" distB="0" distL="0" distR="0" wp14:anchorId="5115FF02" wp14:editId="660F9D92">
                  <wp:extent cx="1624084" cy="2113586"/>
                  <wp:effectExtent l="0" t="0" r="1905" b="0"/>
                  <wp:docPr id="20202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597" name="Picture 202026597"/>
                          <pic:cNvPicPr/>
                        </pic:nvPicPr>
                        <pic:blipFill>
                          <a:blip r:embed="rId11"/>
                          <a:stretch>
                            <a:fillRect/>
                          </a:stretch>
                        </pic:blipFill>
                        <pic:spPr>
                          <a:xfrm>
                            <a:off x="0" y="0"/>
                            <a:ext cx="1657519" cy="2157098"/>
                          </a:xfrm>
                          <a:prstGeom prst="rect">
                            <a:avLst/>
                          </a:prstGeom>
                        </pic:spPr>
                      </pic:pic>
                    </a:graphicData>
                  </a:graphic>
                </wp:inline>
              </w:drawing>
            </w:r>
          </w:p>
        </w:tc>
        <w:tc>
          <w:tcPr>
            <w:tcW w:w="3120" w:type="dxa"/>
            <w:tcBorders>
              <w:top w:val="nil"/>
              <w:left w:val="nil"/>
              <w:bottom w:val="nil"/>
              <w:right w:val="nil"/>
            </w:tcBorders>
          </w:tcPr>
          <w:p w14:paraId="57784D18" w14:textId="5449C1C4" w:rsidR="00516F9D" w:rsidRDefault="00D33018">
            <w:pPr>
              <w:jc w:val="center"/>
            </w:pPr>
            <w:r>
              <w:rPr>
                <w:noProof/>
              </w:rPr>
              <w:drawing>
                <wp:inline distT="0" distB="0" distL="0" distR="0" wp14:anchorId="30C15742" wp14:editId="2C9B5033">
                  <wp:extent cx="1617081" cy="2127738"/>
                  <wp:effectExtent l="0" t="0" r="0" b="6350"/>
                  <wp:docPr id="318189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9092" name="Picture 318189092"/>
                          <pic:cNvPicPr/>
                        </pic:nvPicPr>
                        <pic:blipFill>
                          <a:blip r:embed="rId12"/>
                          <a:stretch>
                            <a:fillRect/>
                          </a:stretch>
                        </pic:blipFill>
                        <pic:spPr>
                          <a:xfrm>
                            <a:off x="0" y="0"/>
                            <a:ext cx="1627267" cy="2141141"/>
                          </a:xfrm>
                          <a:prstGeom prst="rect">
                            <a:avLst/>
                          </a:prstGeom>
                        </pic:spPr>
                      </pic:pic>
                    </a:graphicData>
                  </a:graphic>
                </wp:inline>
              </w:drawing>
            </w:r>
          </w:p>
        </w:tc>
        <w:tc>
          <w:tcPr>
            <w:tcW w:w="3120" w:type="dxa"/>
            <w:tcBorders>
              <w:top w:val="nil"/>
              <w:left w:val="nil"/>
              <w:bottom w:val="nil"/>
              <w:right w:val="nil"/>
            </w:tcBorders>
          </w:tcPr>
          <w:p w14:paraId="3D3270F4" w14:textId="57A46AF8" w:rsidR="00516F9D" w:rsidRDefault="00D33018">
            <w:pPr>
              <w:jc w:val="center"/>
            </w:pPr>
            <w:r>
              <w:rPr>
                <w:noProof/>
              </w:rPr>
              <w:drawing>
                <wp:inline distT="0" distB="0" distL="0" distR="0" wp14:anchorId="7E3F11FF" wp14:editId="59A89837">
                  <wp:extent cx="1818051" cy="2417884"/>
                  <wp:effectExtent l="0" t="0" r="0" b="0"/>
                  <wp:docPr id="85502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922" name="Picture 85502922"/>
                          <pic:cNvPicPr/>
                        </pic:nvPicPr>
                        <pic:blipFill>
                          <a:blip r:embed="rId13"/>
                          <a:stretch>
                            <a:fillRect/>
                          </a:stretch>
                        </pic:blipFill>
                        <pic:spPr>
                          <a:xfrm>
                            <a:off x="0" y="0"/>
                            <a:ext cx="1840164" cy="2447293"/>
                          </a:xfrm>
                          <a:prstGeom prst="rect">
                            <a:avLst/>
                          </a:prstGeom>
                        </pic:spPr>
                      </pic:pic>
                    </a:graphicData>
                  </a:graphic>
                </wp:inline>
              </w:drawing>
            </w:r>
          </w:p>
        </w:tc>
      </w:tr>
      <w:tr w:rsidR="00516F9D" w14:paraId="52FB5DA7" w14:textId="77777777">
        <w:trPr>
          <w:jc w:val="center"/>
        </w:trPr>
        <w:tc>
          <w:tcPr>
            <w:tcW w:w="3120" w:type="dxa"/>
            <w:tcBorders>
              <w:top w:val="nil"/>
              <w:left w:val="nil"/>
              <w:bottom w:val="nil"/>
              <w:right w:val="nil"/>
            </w:tcBorders>
          </w:tcPr>
          <w:p w14:paraId="2A525B48" w14:textId="77777777" w:rsidR="00516F9D" w:rsidRDefault="00000000">
            <w:pPr>
              <w:jc w:val="center"/>
            </w:pPr>
            <w:r>
              <w:rPr>
                <w:sz w:val="21"/>
              </w:rPr>
              <w:t>Publication #12 (2019)</w:t>
            </w:r>
          </w:p>
        </w:tc>
        <w:tc>
          <w:tcPr>
            <w:tcW w:w="3120" w:type="dxa"/>
            <w:tcBorders>
              <w:top w:val="nil"/>
              <w:left w:val="nil"/>
              <w:bottom w:val="nil"/>
              <w:right w:val="nil"/>
            </w:tcBorders>
          </w:tcPr>
          <w:p w14:paraId="34849BFE" w14:textId="77777777" w:rsidR="00516F9D" w:rsidRDefault="00000000">
            <w:pPr>
              <w:jc w:val="center"/>
            </w:pPr>
            <w:r>
              <w:rPr>
                <w:sz w:val="21"/>
              </w:rPr>
              <w:t>Publication #9 (2023)</w:t>
            </w:r>
          </w:p>
        </w:tc>
        <w:tc>
          <w:tcPr>
            <w:tcW w:w="3120" w:type="dxa"/>
            <w:tcBorders>
              <w:top w:val="nil"/>
              <w:left w:val="nil"/>
              <w:bottom w:val="nil"/>
              <w:right w:val="nil"/>
            </w:tcBorders>
          </w:tcPr>
          <w:p w14:paraId="5E613A03" w14:textId="77777777" w:rsidR="00516F9D" w:rsidRDefault="00000000">
            <w:pPr>
              <w:jc w:val="center"/>
            </w:pPr>
            <w:r>
              <w:rPr>
                <w:sz w:val="21"/>
              </w:rPr>
              <w:t>Publication #10 (2022)</w:t>
            </w:r>
          </w:p>
        </w:tc>
      </w:tr>
    </w:tbl>
    <w:p w14:paraId="1044C456" w14:textId="77777777" w:rsidR="00516F9D" w:rsidRDefault="00000000">
      <w:pPr>
        <w:spacing w:before="120" w:after="400"/>
        <w:jc w:val="center"/>
      </w:pPr>
      <w:r>
        <w:rPr>
          <w:i/>
          <w:sz w:val="20"/>
        </w:rPr>
        <w:t>Figure 1: Journal cover images for publication #12 (2019), publication #9 (2023), and publication #10 (2022).</w:t>
      </w:r>
    </w:p>
    <w:p w14:paraId="0E88F218" w14:textId="77777777" w:rsidR="006370D0" w:rsidRDefault="00000000" w:rsidP="006370D0">
      <w:pPr>
        <w:spacing w:after="160"/>
        <w:rPr>
          <w:b/>
          <w:sz w:val="26"/>
        </w:rPr>
      </w:pPr>
      <w:r>
        <w:rPr>
          <w:b/>
          <w:sz w:val="26"/>
        </w:rPr>
        <w:t>Google Scholar Citation Metrics</w:t>
      </w:r>
    </w:p>
    <w:p w14:paraId="0558B2CE" w14:textId="312263C2" w:rsidR="00516F9D" w:rsidRDefault="0026187C" w:rsidP="00BF700A">
      <w:pPr>
        <w:spacing w:after="160"/>
        <w:jc w:val="center"/>
      </w:pPr>
      <w:r>
        <w:rPr>
          <w:b/>
          <w:sz w:val="26"/>
        </w:rPr>
        <w:br/>
      </w:r>
      <w:r w:rsidR="002A0D8E">
        <w:rPr>
          <w:noProof/>
        </w:rPr>
        <w:drawing>
          <wp:inline distT="0" distB="0" distL="0" distR="0" wp14:anchorId="5F858AD8" wp14:editId="1CCC9A98">
            <wp:extent cx="2109600" cy="2350511"/>
            <wp:effectExtent l="0" t="0" r="0" b="0"/>
            <wp:docPr id="180571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8460" name="Picture 1805718460"/>
                    <pic:cNvPicPr/>
                  </pic:nvPicPr>
                  <pic:blipFill>
                    <a:blip r:embed="rId14"/>
                    <a:stretch>
                      <a:fillRect/>
                    </a:stretch>
                  </pic:blipFill>
                  <pic:spPr>
                    <a:xfrm>
                      <a:off x="0" y="0"/>
                      <a:ext cx="2138750" cy="2382990"/>
                    </a:xfrm>
                    <a:prstGeom prst="rect">
                      <a:avLst/>
                    </a:prstGeom>
                  </pic:spPr>
                </pic:pic>
              </a:graphicData>
            </a:graphic>
          </wp:inline>
        </w:drawing>
      </w:r>
    </w:p>
    <w:p w14:paraId="36D043BB" w14:textId="77777777" w:rsidR="00516F9D" w:rsidRDefault="00000000">
      <w:pPr>
        <w:jc w:val="center"/>
      </w:pPr>
      <w:r>
        <w:rPr>
          <w:i/>
          <w:sz w:val="20"/>
        </w:rPr>
        <w:t>Citation metrics from Google Scholar.</w:t>
      </w:r>
    </w:p>
    <w:sectPr w:rsidR="00516F9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750352">
    <w:abstractNumId w:val="8"/>
  </w:num>
  <w:num w:numId="2" w16cid:durableId="839390700">
    <w:abstractNumId w:val="6"/>
  </w:num>
  <w:num w:numId="3" w16cid:durableId="1660309038">
    <w:abstractNumId w:val="5"/>
  </w:num>
  <w:num w:numId="4" w16cid:durableId="1265335571">
    <w:abstractNumId w:val="4"/>
  </w:num>
  <w:num w:numId="5" w16cid:durableId="585965102">
    <w:abstractNumId w:val="7"/>
  </w:num>
  <w:num w:numId="6" w16cid:durableId="210851299">
    <w:abstractNumId w:val="3"/>
  </w:num>
  <w:num w:numId="7" w16cid:durableId="814689170">
    <w:abstractNumId w:val="2"/>
  </w:num>
  <w:num w:numId="8" w16cid:durableId="587693261">
    <w:abstractNumId w:val="1"/>
  </w:num>
  <w:num w:numId="9" w16cid:durableId="4680878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F2"/>
    <w:rsid w:val="00127F44"/>
    <w:rsid w:val="00131907"/>
    <w:rsid w:val="0015074B"/>
    <w:rsid w:val="00172975"/>
    <w:rsid w:val="0026187C"/>
    <w:rsid w:val="0029639D"/>
    <w:rsid w:val="002A0D8E"/>
    <w:rsid w:val="00326F90"/>
    <w:rsid w:val="00516F9D"/>
    <w:rsid w:val="006136CC"/>
    <w:rsid w:val="006154DE"/>
    <w:rsid w:val="006370D0"/>
    <w:rsid w:val="00AA1D8D"/>
    <w:rsid w:val="00AA579D"/>
    <w:rsid w:val="00AF1F81"/>
    <w:rsid w:val="00B47730"/>
    <w:rsid w:val="00BE160C"/>
    <w:rsid w:val="00BF700A"/>
    <w:rsid w:val="00C20F8E"/>
    <w:rsid w:val="00C26E9D"/>
    <w:rsid w:val="00CB0664"/>
    <w:rsid w:val="00D33018"/>
    <w:rsid w:val="00EF156D"/>
    <w:rsid w:val="00FC1A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5D4AF"/>
  <w14:defaultImageDpi w14:val="300"/>
  <w15:docId w15:val="{669C8ED9-AD36-1C48-91EB-03799023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6E9D"/>
    <w:rPr>
      <w:color w:val="0000FF" w:themeColor="hyperlink"/>
      <w:u w:val="single"/>
    </w:rPr>
  </w:style>
  <w:style w:type="character" w:styleId="UnresolvedMention">
    <w:name w:val="Unresolved Mention"/>
    <w:basedOn w:val="DefaultParagraphFont"/>
    <w:uiPriority w:val="99"/>
    <w:semiHidden/>
    <w:unhideWhenUsed/>
    <w:rsid w:val="00C26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fock.bragitoff.com" TargetMode="Externa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hyperlink" Target="https://github.com/manassharma07/PyFock"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iisc.ac.in/events/achieving-wafer-scale-growth-of-2d-magnetic-materials/" TargetMode="Externa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holar.google.com/citations?user=WYOEL94AAAAJ" TargetMode="External"/><Relationship Id="rId4" Type="http://schemas.openxmlformats.org/officeDocument/2006/relationships/settings" Target="settings.xml"/><Relationship Id="rId9" Type="http://schemas.openxmlformats.org/officeDocument/2006/relationships/hyperlink" Target="https://pubs.acs.org/action/showMostReadArticles?journalCode=jpcafh" TargetMode="External"/><Relationship Id="rId14" Type="http://schemas.openxmlformats.org/officeDocument/2006/relationships/image" Target="media/image4.png"/><Relationship Id="rId17" Type="http://schemas.openxmlformats.org/officeDocument/2006/relationships/hyperlink" Target="https://doi.org/10.1021/acs.jpca.6c03727" TargetMode="External"/><Relationship Id="rId18" Type="http://schemas.openxmlformats.org/officeDocument/2006/relationships/hyperlink" Target="https://manas.bragitoff.com/publications.html#preprint-list-title" TargetMode="External"/><Relationship Id="rId19" Type="http://schemas.openxmlformats.org/officeDocument/2006/relationships/hyperlink" Target="https://arxiv.org/abs/2607.07606" TargetMode="External"/><Relationship Id="rId20" Type="http://schemas.openxmlformats.org/officeDocument/2006/relationships/hyperlink" Target="https://doi.org/10.1021/acs.nanolett.6c00590" TargetMode="External"/><Relationship Id="rId21" Type="http://schemas.openxmlformats.org/officeDocument/2006/relationships/hyperlink" Target="https://doi.org/10.1002/adma.202514405" TargetMode="External"/><Relationship Id="rId22" Type="http://schemas.openxmlformats.org/officeDocument/2006/relationships/hyperlink" Target="https://doi.org/10.1021/acs.jpca.5c02937" TargetMode="External"/><Relationship Id="rId23" Type="http://schemas.openxmlformats.org/officeDocument/2006/relationships/hyperlink" Target="https://doi.org/10.1021/acs.jctc.4c00819" TargetMode="External"/><Relationship Id="rId24" Type="http://schemas.openxmlformats.org/officeDocument/2006/relationships/hyperlink" Target="https://doi.org/10.1021/acs.jctc.3c00347" TargetMode="External"/><Relationship Id="rId25" Type="http://schemas.openxmlformats.org/officeDocument/2006/relationships/hyperlink" Target="https://doi.org/10.1002/adom.202203070" TargetMode="External"/><Relationship Id="rId26" Type="http://schemas.openxmlformats.org/officeDocument/2006/relationships/hyperlink" Target="https://doi.org/10.1021/acs.jctc.2c00380" TargetMode="External"/><Relationship Id="rId27" Type="http://schemas.openxmlformats.org/officeDocument/2006/relationships/hyperlink" Target="https://doi.org/10.1002/jcc.26412" TargetMode="External"/><Relationship Id="rId28" Type="http://schemas.openxmlformats.org/officeDocument/2006/relationships/hyperlink" Target="https://doi.org/10.1107/S1600576719013682" TargetMode="External"/><Relationship Id="rId29" Type="http://schemas.openxmlformats.org/officeDocument/2006/relationships/hyperlink" Target="https://doi.org/10.1103/PhysRevB.100.045151" TargetMode="External"/><Relationship Id="rId30" Type="http://schemas.openxmlformats.org/officeDocument/2006/relationships/hyperlink" Target="https://doi.org/10.1063/1.5122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Sharma</cp:lastModifiedBy>
  <cp:revision>9</cp:revision>
  <cp:lastPrinted>2026-06-28T04:18:00Z</cp:lastPrinted>
  <dcterms:created xsi:type="dcterms:W3CDTF">2026-06-28T04:18:00Z</dcterms:created>
  <dcterms:modified xsi:type="dcterms:W3CDTF">2026-08-31T07:35:00Z</dcterms:modified>
  <cp:category/>
</cp:coreProperties>
</file>