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067935" w14:textId="77777777" w:rsidR="008E35F8" w:rsidRDefault="00A537D1" w:rsidP="008E35F8">
      <w:pPr>
        <w:pStyle w:val="Title"/>
        <w:jc w:val="both"/>
        <w:rPr>
          <w:rFonts w:ascii="Arial" w:hAnsi="Arial" w:cs="Arial"/>
          <w:color w:val="000000" w:themeColor="text1"/>
        </w:rPr>
      </w:pPr>
      <w:r w:rsidRPr="00A537D1">
        <w:rPr>
          <w:rFonts w:ascii="Arial" w:hAnsi="Arial" w:cs="Arial"/>
          <w:color w:val="000000" w:themeColor="text1"/>
        </w:rPr>
        <w:t xml:space="preserve">Predictive Insights for Collections </w:t>
      </w:r>
      <w:r w:rsidR="008E35F8">
        <w:rPr>
          <w:rFonts w:ascii="Arial" w:hAnsi="Arial" w:cs="Arial"/>
          <w:color w:val="000000" w:themeColor="text1"/>
        </w:rPr>
        <w:t xml:space="preserve">         </w:t>
      </w:r>
    </w:p>
    <w:p w14:paraId="02AC83A6" w14:textId="08834CB5" w:rsidR="007D72C2" w:rsidRPr="00A537D1" w:rsidRDefault="008E35F8" w:rsidP="008E35F8">
      <w:pPr>
        <w:pStyle w:val="Title"/>
        <w:jc w:val="both"/>
        <w:rPr>
          <w:rFonts w:ascii="Arial" w:hAnsi="Arial" w:cs="Arial"/>
          <w:color w:val="000000" w:themeColor="text1"/>
        </w:rPr>
      </w:pPr>
      <w:r>
        <w:rPr>
          <w:rFonts w:ascii="Arial" w:hAnsi="Arial" w:cs="Arial"/>
          <w:color w:val="000000" w:themeColor="text1"/>
        </w:rPr>
        <w:t xml:space="preserve">                    </w:t>
      </w:r>
      <w:r w:rsidR="00A537D1" w:rsidRPr="00A537D1">
        <w:rPr>
          <w:rFonts w:ascii="Arial" w:hAnsi="Arial" w:cs="Arial"/>
          <w:color w:val="000000" w:themeColor="text1"/>
        </w:rPr>
        <w:t>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p w14:paraId="4242A7C1" w14:textId="77777777" w:rsidR="00671C61" w:rsidRDefault="00671C61" w:rsidP="00671C61">
      <w:pPr>
        <w:pStyle w:val="NormalWeb"/>
      </w:pPr>
      <w:r>
        <w:rPr>
          <w:rStyle w:val="Strong"/>
        </w:rPr>
        <w:t>Top 3 Risk Factors for Customer Delinquency</w:t>
      </w:r>
    </w:p>
    <w:p w14:paraId="122A6CC2" w14:textId="77777777" w:rsidR="00671C61" w:rsidRDefault="00671C61" w:rsidP="00671C61">
      <w:pPr>
        <w:pStyle w:val="NormalWeb"/>
        <w:numPr>
          <w:ilvl w:val="0"/>
          <w:numId w:val="14"/>
        </w:numPr>
      </w:pPr>
      <w:r>
        <w:rPr>
          <w:rStyle w:val="Strong"/>
        </w:rPr>
        <w:t>Unemployment + High Credit Utilization</w:t>
      </w:r>
      <w:r>
        <w:t xml:space="preserve"> – No steady income and heavy credit usage increase repayment risk.</w:t>
      </w:r>
    </w:p>
    <w:p w14:paraId="009B198F" w14:textId="77777777" w:rsidR="00671C61" w:rsidRDefault="00671C61" w:rsidP="00671C61">
      <w:pPr>
        <w:pStyle w:val="NormalWeb"/>
        <w:numPr>
          <w:ilvl w:val="0"/>
          <w:numId w:val="14"/>
        </w:numPr>
      </w:pPr>
      <w:r>
        <w:rPr>
          <w:rStyle w:val="Strong"/>
        </w:rPr>
        <w:t>Low Credit Score + High-Risk Card Type (Business/Student)</w:t>
      </w:r>
      <w:r>
        <w:t xml:space="preserve"> – Indicates prior credit issues and higher borrowing exposure.</w:t>
      </w:r>
    </w:p>
    <w:p w14:paraId="6E94616E" w14:textId="126D9DE2" w:rsidR="00671C61" w:rsidRDefault="00671C61" w:rsidP="00671C61">
      <w:pPr>
        <w:pStyle w:val="NormalWeb"/>
        <w:numPr>
          <w:ilvl w:val="0"/>
          <w:numId w:val="14"/>
        </w:numPr>
      </w:pPr>
      <w:r>
        <w:rPr>
          <w:rStyle w:val="Strong"/>
        </w:rPr>
        <w:t>Multiple Missed Payments</w:t>
      </w:r>
      <w:r>
        <w:t xml:space="preserve"> – Strong </w:t>
      </w:r>
      <w:proofErr w:type="spellStart"/>
      <w:r>
        <w:t>behavioral</w:t>
      </w:r>
      <w:proofErr w:type="spellEnd"/>
      <w:r>
        <w:t xml:space="preserve"> signal of likely future delinquency.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2932"/>
        <w:gridCol w:w="3151"/>
      </w:tblGrid>
      <w:tr w:rsidR="00671C61" w:rsidRPr="00671C61" w14:paraId="2FE8B58C" w14:textId="77777777" w:rsidTr="00671C61">
        <w:trPr>
          <w:tblHeader/>
          <w:tblCellSpacing w:w="15" w:type="dxa"/>
        </w:trPr>
        <w:tc>
          <w:tcPr>
            <w:tcW w:w="0" w:type="auto"/>
            <w:vAlign w:val="center"/>
            <w:hideMark/>
          </w:tcPr>
          <w:p w14:paraId="53EC0A4B" w14:textId="77777777" w:rsidR="00671C61" w:rsidRPr="00671C61" w:rsidRDefault="00671C61" w:rsidP="00671C61">
            <w:pPr>
              <w:spacing w:after="0" w:line="240" w:lineRule="auto"/>
              <w:jc w:val="center"/>
              <w:rPr>
                <w:rFonts w:ascii="Times New Roman" w:eastAsia="Times New Roman" w:hAnsi="Times New Roman" w:cs="Times New Roman"/>
                <w:b/>
                <w:bCs/>
                <w:sz w:val="24"/>
                <w:szCs w:val="24"/>
                <w:lang w:val="en-IN" w:eastAsia="en-IN"/>
              </w:rPr>
            </w:pPr>
            <w:r w:rsidRPr="00671C61">
              <w:rPr>
                <w:rFonts w:ascii="Times New Roman" w:eastAsia="Times New Roman" w:hAnsi="Times New Roman" w:cs="Times New Roman"/>
                <w:b/>
                <w:bCs/>
                <w:sz w:val="24"/>
                <w:szCs w:val="24"/>
                <w:lang w:val="en-IN" w:eastAsia="en-IN"/>
              </w:rPr>
              <w:t>Risk Factor</w:t>
            </w:r>
          </w:p>
        </w:tc>
        <w:tc>
          <w:tcPr>
            <w:tcW w:w="0" w:type="auto"/>
            <w:vAlign w:val="center"/>
            <w:hideMark/>
          </w:tcPr>
          <w:p w14:paraId="2153C527" w14:textId="77777777" w:rsidR="00671C61" w:rsidRPr="00671C61" w:rsidRDefault="00671C61" w:rsidP="00671C61">
            <w:pPr>
              <w:spacing w:after="0" w:line="240" w:lineRule="auto"/>
              <w:jc w:val="center"/>
              <w:rPr>
                <w:rFonts w:ascii="Times New Roman" w:eastAsia="Times New Roman" w:hAnsi="Times New Roman" w:cs="Times New Roman"/>
                <w:b/>
                <w:bCs/>
                <w:sz w:val="24"/>
                <w:szCs w:val="24"/>
                <w:lang w:val="en-IN" w:eastAsia="en-IN"/>
              </w:rPr>
            </w:pPr>
            <w:r w:rsidRPr="00671C61">
              <w:rPr>
                <w:rFonts w:ascii="Times New Roman" w:eastAsia="Times New Roman" w:hAnsi="Times New Roman" w:cs="Times New Roman"/>
                <w:b/>
                <w:bCs/>
                <w:sz w:val="24"/>
                <w:szCs w:val="24"/>
                <w:lang w:val="en-IN" w:eastAsia="en-IN"/>
              </w:rPr>
              <w:t>Why It Matters</w:t>
            </w:r>
          </w:p>
        </w:tc>
        <w:tc>
          <w:tcPr>
            <w:tcW w:w="0" w:type="auto"/>
            <w:vAlign w:val="center"/>
            <w:hideMark/>
          </w:tcPr>
          <w:p w14:paraId="25BF1DD8" w14:textId="77777777" w:rsidR="00671C61" w:rsidRPr="00671C61" w:rsidRDefault="00671C61" w:rsidP="00671C61">
            <w:pPr>
              <w:spacing w:after="0" w:line="240" w:lineRule="auto"/>
              <w:jc w:val="center"/>
              <w:rPr>
                <w:rFonts w:ascii="Times New Roman" w:eastAsia="Times New Roman" w:hAnsi="Times New Roman" w:cs="Times New Roman"/>
                <w:b/>
                <w:bCs/>
                <w:sz w:val="24"/>
                <w:szCs w:val="24"/>
                <w:lang w:val="en-IN" w:eastAsia="en-IN"/>
              </w:rPr>
            </w:pPr>
            <w:r w:rsidRPr="00671C61">
              <w:rPr>
                <w:rFonts w:ascii="Times New Roman" w:eastAsia="Times New Roman" w:hAnsi="Times New Roman" w:cs="Times New Roman"/>
                <w:b/>
                <w:bCs/>
                <w:sz w:val="24"/>
                <w:szCs w:val="24"/>
                <w:lang w:val="en-IN" w:eastAsia="en-IN"/>
              </w:rPr>
              <w:t>Recommended Action</w:t>
            </w:r>
          </w:p>
        </w:tc>
      </w:tr>
      <w:tr w:rsidR="00671C61" w:rsidRPr="00671C61" w14:paraId="0BDCD457" w14:textId="77777777" w:rsidTr="00671C61">
        <w:trPr>
          <w:tblCellSpacing w:w="15" w:type="dxa"/>
        </w:trPr>
        <w:tc>
          <w:tcPr>
            <w:tcW w:w="0" w:type="auto"/>
            <w:vAlign w:val="center"/>
            <w:hideMark/>
          </w:tcPr>
          <w:p w14:paraId="0D8979AE"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High Credit Utilization</w:t>
            </w:r>
          </w:p>
        </w:tc>
        <w:tc>
          <w:tcPr>
            <w:tcW w:w="0" w:type="auto"/>
            <w:vAlign w:val="center"/>
            <w:hideMark/>
          </w:tcPr>
          <w:p w14:paraId="6E0DB611"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Strongly linked to higher delinquency risk</w:t>
            </w:r>
          </w:p>
        </w:tc>
        <w:tc>
          <w:tcPr>
            <w:tcW w:w="0" w:type="auto"/>
            <w:vAlign w:val="center"/>
            <w:hideMark/>
          </w:tcPr>
          <w:p w14:paraId="1F0E8A50"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Proactive outreach and repayment plans</w:t>
            </w:r>
          </w:p>
        </w:tc>
      </w:tr>
      <w:tr w:rsidR="00671C61" w:rsidRPr="00671C61" w14:paraId="4DA5E838" w14:textId="77777777" w:rsidTr="00671C61">
        <w:trPr>
          <w:tblCellSpacing w:w="15" w:type="dxa"/>
        </w:trPr>
        <w:tc>
          <w:tcPr>
            <w:tcW w:w="0" w:type="auto"/>
            <w:vAlign w:val="center"/>
            <w:hideMark/>
          </w:tcPr>
          <w:p w14:paraId="31CAC6B4"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Unemployment + High Utilization</w:t>
            </w:r>
          </w:p>
        </w:tc>
        <w:tc>
          <w:tcPr>
            <w:tcW w:w="0" w:type="auto"/>
            <w:vAlign w:val="center"/>
            <w:hideMark/>
          </w:tcPr>
          <w:p w14:paraId="4B35AA9A"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Combined financial strain increases risk</w:t>
            </w:r>
          </w:p>
        </w:tc>
        <w:tc>
          <w:tcPr>
            <w:tcW w:w="0" w:type="auto"/>
            <w:vAlign w:val="center"/>
            <w:hideMark/>
          </w:tcPr>
          <w:p w14:paraId="64DEAD29"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Early intervention and job support resources</w:t>
            </w:r>
          </w:p>
        </w:tc>
      </w:tr>
      <w:tr w:rsidR="00671C61" w:rsidRPr="00671C61" w14:paraId="6642083B" w14:textId="77777777" w:rsidTr="00671C61">
        <w:trPr>
          <w:tblCellSpacing w:w="15" w:type="dxa"/>
        </w:trPr>
        <w:tc>
          <w:tcPr>
            <w:tcW w:w="0" w:type="auto"/>
            <w:vAlign w:val="center"/>
            <w:hideMark/>
          </w:tcPr>
          <w:p w14:paraId="70CA7C84"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Low Credit Score + Risky Card Types</w:t>
            </w:r>
          </w:p>
        </w:tc>
        <w:tc>
          <w:tcPr>
            <w:tcW w:w="0" w:type="auto"/>
            <w:vAlign w:val="center"/>
            <w:hideMark/>
          </w:tcPr>
          <w:p w14:paraId="2317BB6E"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Indicates past repayment issues and higher exposure</w:t>
            </w:r>
          </w:p>
        </w:tc>
        <w:tc>
          <w:tcPr>
            <w:tcW w:w="0" w:type="auto"/>
            <w:vAlign w:val="center"/>
            <w:hideMark/>
          </w:tcPr>
          <w:p w14:paraId="607E3EF4"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 xml:space="preserve">Stricter limits and targeted </w:t>
            </w:r>
            <w:proofErr w:type="spellStart"/>
            <w:r w:rsidRPr="00671C61">
              <w:rPr>
                <w:rFonts w:ascii="Times New Roman" w:eastAsia="Times New Roman" w:hAnsi="Times New Roman" w:cs="Times New Roman"/>
                <w:sz w:val="24"/>
                <w:szCs w:val="24"/>
                <w:lang w:val="en-IN" w:eastAsia="en-IN"/>
              </w:rPr>
              <w:t>counseling</w:t>
            </w:r>
            <w:proofErr w:type="spellEnd"/>
          </w:p>
        </w:tc>
      </w:tr>
      <w:tr w:rsidR="00671C61" w:rsidRPr="00671C61" w14:paraId="2DF5D017" w14:textId="77777777" w:rsidTr="00671C61">
        <w:trPr>
          <w:tblCellSpacing w:w="15" w:type="dxa"/>
        </w:trPr>
        <w:tc>
          <w:tcPr>
            <w:tcW w:w="0" w:type="auto"/>
            <w:vAlign w:val="center"/>
            <w:hideMark/>
          </w:tcPr>
          <w:p w14:paraId="0E42A75D"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Multiple Missed Payments</w:t>
            </w:r>
          </w:p>
        </w:tc>
        <w:tc>
          <w:tcPr>
            <w:tcW w:w="0" w:type="auto"/>
            <w:vAlign w:val="center"/>
            <w:hideMark/>
          </w:tcPr>
          <w:p w14:paraId="2E1B4BCA"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 xml:space="preserve">Strong </w:t>
            </w:r>
            <w:proofErr w:type="spellStart"/>
            <w:r w:rsidRPr="00671C61">
              <w:rPr>
                <w:rFonts w:ascii="Times New Roman" w:eastAsia="Times New Roman" w:hAnsi="Times New Roman" w:cs="Times New Roman"/>
                <w:sz w:val="24"/>
                <w:szCs w:val="24"/>
                <w:lang w:val="en-IN" w:eastAsia="en-IN"/>
              </w:rPr>
              <w:t>behavioral</w:t>
            </w:r>
            <w:proofErr w:type="spellEnd"/>
            <w:r w:rsidRPr="00671C61">
              <w:rPr>
                <w:rFonts w:ascii="Times New Roman" w:eastAsia="Times New Roman" w:hAnsi="Times New Roman" w:cs="Times New Roman"/>
                <w:sz w:val="24"/>
                <w:szCs w:val="24"/>
                <w:lang w:val="en-IN" w:eastAsia="en-IN"/>
              </w:rPr>
              <w:t xml:space="preserve"> predictor of future delinquency</w:t>
            </w:r>
          </w:p>
        </w:tc>
        <w:tc>
          <w:tcPr>
            <w:tcW w:w="0" w:type="auto"/>
            <w:vAlign w:val="center"/>
            <w:hideMark/>
          </w:tcPr>
          <w:p w14:paraId="68375647"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Immediate contact and structured repayment options</w:t>
            </w:r>
          </w:p>
        </w:tc>
      </w:tr>
      <w:tr w:rsidR="00671C61" w:rsidRPr="00671C61" w14:paraId="0B3657B2" w14:textId="77777777" w:rsidTr="00671C61">
        <w:trPr>
          <w:tblCellSpacing w:w="15" w:type="dxa"/>
        </w:trPr>
        <w:tc>
          <w:tcPr>
            <w:tcW w:w="0" w:type="auto"/>
            <w:vAlign w:val="center"/>
            <w:hideMark/>
          </w:tcPr>
          <w:p w14:paraId="4A3CC438"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High-Risk Locations</w:t>
            </w:r>
          </w:p>
        </w:tc>
        <w:tc>
          <w:tcPr>
            <w:tcW w:w="0" w:type="auto"/>
            <w:vAlign w:val="center"/>
            <w:hideMark/>
          </w:tcPr>
          <w:p w14:paraId="18406539"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Regional economic pressures impact repayment</w:t>
            </w:r>
          </w:p>
        </w:tc>
        <w:tc>
          <w:tcPr>
            <w:tcW w:w="0" w:type="auto"/>
            <w:vAlign w:val="center"/>
            <w:hideMark/>
          </w:tcPr>
          <w:p w14:paraId="7977FD1E" w14:textId="77777777" w:rsidR="00671C61" w:rsidRPr="00671C61" w:rsidRDefault="00671C61" w:rsidP="00671C61">
            <w:pPr>
              <w:spacing w:after="0" w:line="240" w:lineRule="auto"/>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Localized risk strategies and monitoring</w:t>
            </w:r>
          </w:p>
        </w:tc>
      </w:tr>
    </w:tbl>
    <w:p w14:paraId="50978634" w14:textId="77777777" w:rsidR="00A537D1" w:rsidRPr="00A537D1" w:rsidRDefault="00A537D1">
      <w:pPr>
        <w:rPr>
          <w:rFonts w:ascii="Arial" w:hAnsi="Arial" w:cs="Arial"/>
          <w:color w:val="000000" w:themeColor="text1"/>
        </w:rPr>
      </w:pPr>
    </w:p>
    <w:p w14:paraId="72833B3F" w14:textId="31A416BB" w:rsidR="007D72C2" w:rsidRDefault="00A537D1">
      <w:pPr>
        <w:pStyle w:val="Heading1"/>
        <w:rPr>
          <w:rFonts w:ascii="Arial" w:hAnsi="Arial" w:cs="Arial"/>
          <w:color w:val="000000" w:themeColor="text1"/>
        </w:rPr>
      </w:pPr>
      <w:r w:rsidRPr="00A537D1">
        <w:rPr>
          <w:rFonts w:ascii="Arial" w:hAnsi="Arial" w:cs="Arial"/>
          <w:color w:val="000000" w:themeColor="text1"/>
        </w:rPr>
        <w:t>2. Recommendation Framework</w:t>
      </w:r>
    </w:p>
    <w:p w14:paraId="4F1BB147" w14:textId="77777777" w:rsidR="00671C61" w:rsidRDefault="00671C61" w:rsidP="00671C61"/>
    <w:p w14:paraId="5F99FDA2" w14:textId="7CB53769" w:rsidR="00671C61" w:rsidRDefault="00671C61" w:rsidP="00671C61">
      <w:pPr>
        <w:rPr>
          <w:b/>
        </w:rPr>
      </w:pPr>
      <w:r>
        <w:rPr>
          <w:b/>
        </w:rPr>
        <w:t>Restated Insight</w:t>
      </w:r>
    </w:p>
    <w:p w14:paraId="4CB2EE2D" w14:textId="746CCDA0" w:rsidR="00671C61" w:rsidRDefault="00671C61" w:rsidP="00671C61">
      <w:pPr>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 xml:space="preserve">Customers with </w:t>
      </w:r>
      <w:r w:rsidRPr="00671C61">
        <w:rPr>
          <w:rFonts w:ascii="Times New Roman" w:eastAsia="Times New Roman" w:hAnsi="Times New Roman" w:cs="Times New Roman"/>
          <w:b/>
          <w:bCs/>
          <w:sz w:val="24"/>
          <w:szCs w:val="24"/>
          <w:lang w:val="en-IN" w:eastAsia="en-IN"/>
        </w:rPr>
        <w:t>high credit utilization</w:t>
      </w:r>
      <w:r w:rsidRPr="00671C61">
        <w:rPr>
          <w:rFonts w:ascii="Times New Roman" w:eastAsia="Times New Roman" w:hAnsi="Times New Roman" w:cs="Times New Roman"/>
          <w:sz w:val="24"/>
          <w:szCs w:val="24"/>
          <w:lang w:val="en-IN" w:eastAsia="en-IN"/>
        </w:rPr>
        <w:t xml:space="preserve"> are significantly more likely to become delinquent, as heavy reliance on available credit reduces their financial flexibility and increases the likelihood of missed payments. Proactive monitoring and early intervention can help reduce this risk.</w:t>
      </w:r>
    </w:p>
    <w:p w14:paraId="0D19755B" w14:textId="24B7CBD9" w:rsidR="00671C61" w:rsidRDefault="00671C61" w:rsidP="00671C61">
      <w:pPr>
        <w:rPr>
          <w:rFonts w:ascii="Times New Roman" w:eastAsia="Times New Roman" w:hAnsi="Times New Roman" w:cs="Times New Roman"/>
          <w:sz w:val="24"/>
          <w:szCs w:val="24"/>
          <w:lang w:val="en-IN" w:eastAsia="en-IN"/>
        </w:rPr>
      </w:pPr>
    </w:p>
    <w:p w14:paraId="59D57BAA" w14:textId="77777777" w:rsidR="00671C61" w:rsidRDefault="00671C61" w:rsidP="00671C61">
      <w:r>
        <w:rPr>
          <w:rStyle w:val="Strong"/>
        </w:rPr>
        <w:lastRenderedPageBreak/>
        <w:t>SMART Recommendation:</w:t>
      </w:r>
      <w:r>
        <w:br/>
      </w:r>
      <w:r>
        <w:rPr>
          <w:rStyle w:val="Strong"/>
        </w:rPr>
        <w:t>Specific:</w:t>
      </w:r>
      <w:r>
        <w:t xml:space="preserve"> Implement a policy to proactively contact customers whose credit utilization exceeds </w:t>
      </w:r>
      <w:r>
        <w:rPr>
          <w:rStyle w:val="Strong"/>
        </w:rPr>
        <w:t>70%</w:t>
      </w:r>
      <w:r>
        <w:t xml:space="preserve"> of their limit, offering financial counseling and repayment plan options.</w:t>
      </w:r>
      <w:r>
        <w:br/>
      </w:r>
      <w:r>
        <w:rPr>
          <w:rStyle w:val="Strong"/>
        </w:rPr>
        <w:t>Measurable:</w:t>
      </w:r>
      <w:r>
        <w:t xml:space="preserve"> Aim to reduce delinquency rates among high-utilization customers by </w:t>
      </w:r>
      <w:r>
        <w:rPr>
          <w:rStyle w:val="Strong"/>
        </w:rPr>
        <w:t>15%</w:t>
      </w:r>
      <w:r>
        <w:t xml:space="preserve"> within </w:t>
      </w:r>
      <w:r>
        <w:rPr>
          <w:rStyle w:val="Strong"/>
        </w:rPr>
        <w:t>6 months</w:t>
      </w:r>
      <w:r>
        <w:t>.</w:t>
      </w:r>
      <w:r>
        <w:br/>
      </w:r>
      <w:r>
        <w:rPr>
          <w:rStyle w:val="Strong"/>
        </w:rPr>
        <w:t>Achievable:</w:t>
      </w:r>
      <w:r>
        <w:t xml:space="preserve"> Use existing credit monitoring systems to flag and reach out to at-risk customers via automated alerts and call center outreach.</w:t>
      </w:r>
      <w:r>
        <w:br/>
      </w:r>
      <w:r>
        <w:rPr>
          <w:rStyle w:val="Strong"/>
        </w:rPr>
        <w:t>Relevant:</w:t>
      </w:r>
      <w:r>
        <w:t xml:space="preserve"> Addresses a key predictor of delinquency, improving portfolio health and customer retention.</w:t>
      </w:r>
      <w:r>
        <w:br/>
      </w:r>
      <w:r>
        <w:rPr>
          <w:rStyle w:val="Strong"/>
        </w:rPr>
        <w:t>Time-bound:</w:t>
      </w:r>
      <w:r>
        <w:t xml:space="preserve"> Launch the program by </w:t>
      </w:r>
      <w:r>
        <w:rPr>
          <w:rStyle w:val="Strong"/>
        </w:rPr>
        <w:t>next quarter</w:t>
      </w:r>
      <w:r>
        <w:t xml:space="preserve"> and evaluate results after </w:t>
      </w:r>
      <w:r>
        <w:rPr>
          <w:rStyle w:val="Strong"/>
        </w:rPr>
        <w:t>two quarters</w:t>
      </w:r>
      <w:r>
        <w:t xml:space="preserve"> of operation.</w:t>
      </w:r>
    </w:p>
    <w:p w14:paraId="61F84F7A" w14:textId="58E70352" w:rsidR="00671C61" w:rsidRPr="00671C61" w:rsidRDefault="00671C61" w:rsidP="00671C61">
      <w:pPr>
        <w:rPr>
          <w:rFonts w:ascii="Times New Roman" w:eastAsia="Times New Roman" w:hAnsi="Times New Roman" w:cs="Times New Roman"/>
          <w:sz w:val="24"/>
          <w:szCs w:val="24"/>
          <w:lang w:val="en-IN" w:eastAsia="en-IN"/>
        </w:rPr>
      </w:pPr>
      <w:r w:rsidRPr="00671C61">
        <w:rPr>
          <w:rFonts w:ascii="Times New Roman" w:eastAsia="Times New Roman" w:hAnsi="Times New Roman" w:cs="Times New Roman"/>
          <w:sz w:val="24"/>
          <w:szCs w:val="24"/>
          <w:lang w:val="en-IN" w:eastAsia="en-IN"/>
        </w:rPr>
        <w:t xml:space="preserve">Reduce delinquency among customers with credit utilization above 70% by </w:t>
      </w:r>
      <w:r w:rsidRPr="00671C61">
        <w:rPr>
          <w:rFonts w:ascii="Times New Roman" w:eastAsia="Times New Roman" w:hAnsi="Times New Roman" w:cs="Times New Roman"/>
          <w:b/>
          <w:bCs/>
          <w:sz w:val="24"/>
          <w:szCs w:val="24"/>
          <w:lang w:val="en-IN" w:eastAsia="en-IN"/>
        </w:rPr>
        <w:t>15%</w:t>
      </w:r>
      <w:r w:rsidRPr="00671C61">
        <w:rPr>
          <w:rFonts w:ascii="Times New Roman" w:eastAsia="Times New Roman" w:hAnsi="Times New Roman" w:cs="Times New Roman"/>
          <w:sz w:val="24"/>
          <w:szCs w:val="24"/>
          <w:lang w:val="en-IN" w:eastAsia="en-IN"/>
        </w:rPr>
        <w:t xml:space="preserve"> within </w:t>
      </w:r>
      <w:r w:rsidRPr="00671C61">
        <w:rPr>
          <w:rFonts w:ascii="Times New Roman" w:eastAsia="Times New Roman" w:hAnsi="Times New Roman" w:cs="Times New Roman"/>
          <w:b/>
          <w:bCs/>
          <w:sz w:val="24"/>
          <w:szCs w:val="24"/>
          <w:lang w:val="en-IN" w:eastAsia="en-IN"/>
        </w:rPr>
        <w:t>6 months</w:t>
      </w:r>
      <w:r w:rsidRPr="00671C61">
        <w:rPr>
          <w:rFonts w:ascii="Times New Roman" w:eastAsia="Times New Roman" w:hAnsi="Times New Roman" w:cs="Times New Roman"/>
          <w:sz w:val="24"/>
          <w:szCs w:val="24"/>
          <w:lang w:val="en-IN" w:eastAsia="en-IN"/>
        </w:rPr>
        <w:t xml:space="preserve"> through targeted outreach and tailored repayment plans.</w:t>
      </w:r>
      <w:r w:rsidRPr="00671C61">
        <w:rPr>
          <w:rFonts w:ascii="Times New Roman" w:eastAsia="Times New Roman" w:hAnsi="Times New Roman" w:cs="Times New Roman"/>
          <w:sz w:val="24"/>
          <w:szCs w:val="24"/>
          <w:lang w:val="en-IN" w:eastAsia="en-IN"/>
        </w:rPr>
        <w:br/>
        <w:t>By focusing on customers most at risk due to high credit utilization, we can intervene before defaults occur, protecting revenue while strengthening customer trust and long-term loyalty.</w:t>
      </w:r>
    </w:p>
    <w:p w14:paraId="08E6A272" w14:textId="5C819082" w:rsidR="007D72C2" w:rsidRPr="00A537D1" w:rsidRDefault="00671C61">
      <w:pPr>
        <w:pStyle w:val="Heading1"/>
        <w:rPr>
          <w:rFonts w:ascii="Arial" w:hAnsi="Arial" w:cs="Arial"/>
          <w:color w:val="000000" w:themeColor="text1"/>
        </w:rPr>
      </w:pPr>
      <w:r>
        <w:rPr>
          <w:rFonts w:ascii="Arial" w:hAnsi="Arial" w:cs="Arial"/>
          <w:color w:val="000000" w:themeColor="text1"/>
        </w:rPr>
        <w:t>3. Ethical</w:t>
      </w:r>
      <w:r w:rsidR="00A537D1" w:rsidRPr="00A537D1">
        <w:rPr>
          <w:rFonts w:ascii="Arial" w:hAnsi="Arial" w:cs="Arial"/>
          <w:color w:val="000000" w:themeColor="text1"/>
        </w:rPr>
        <w:t xml:space="preserve"> and Responsible AI Considerations</w:t>
      </w:r>
    </w:p>
    <w:p w14:paraId="0653AC54" w14:textId="77777777" w:rsidR="008E35F8" w:rsidRDefault="008E35F8" w:rsidP="008E35F8">
      <w:pPr>
        <w:pStyle w:val="NormalWeb"/>
      </w:pPr>
      <w:r>
        <w:rPr>
          <w:rStyle w:val="Strong"/>
        </w:rPr>
        <w:t>Fairness Risks &amp; Mitigation Strategies</w:t>
      </w:r>
    </w:p>
    <w:p w14:paraId="5306BAC0" w14:textId="77777777" w:rsidR="008E35F8" w:rsidRDefault="008E35F8" w:rsidP="008E35F8">
      <w:pPr>
        <w:pStyle w:val="NormalWeb"/>
        <w:numPr>
          <w:ilvl w:val="0"/>
          <w:numId w:val="17"/>
        </w:numPr>
      </w:pPr>
      <w:r>
        <w:rPr>
          <w:rStyle w:val="Strong"/>
        </w:rPr>
        <w:t>Risk:</w:t>
      </w:r>
      <w:r>
        <w:t xml:space="preserve"> </w:t>
      </w:r>
      <w:r>
        <w:rPr>
          <w:rStyle w:val="Emphasis"/>
        </w:rPr>
        <w:t>Indirect Bias from Demographic Proxies</w:t>
      </w:r>
      <w:r>
        <w:t xml:space="preserve"> – Variables like ZIP code, employment type, or education level may unintentionally reflect race, gender, or socioeconomic status.</w:t>
      </w:r>
      <w:r>
        <w:br/>
      </w:r>
      <w:r>
        <w:rPr>
          <w:rStyle w:val="Strong"/>
        </w:rPr>
        <w:t>Mitigation:</w:t>
      </w:r>
      <w:r>
        <w:t xml:space="preserve"> Regularly audit features for correlation with protected attributes, and use </w:t>
      </w:r>
      <w:proofErr w:type="spellStart"/>
      <w:r>
        <w:t>debiasing</w:t>
      </w:r>
      <w:proofErr w:type="spellEnd"/>
      <w:r>
        <w:t xml:space="preserve"> techniques (e.g., reweighing or adversarial </w:t>
      </w:r>
      <w:proofErr w:type="spellStart"/>
      <w:r>
        <w:t>debiasing</w:t>
      </w:r>
      <w:proofErr w:type="spellEnd"/>
      <w:r>
        <w:t>) to reduce discriminatory impact.</w:t>
      </w:r>
    </w:p>
    <w:p w14:paraId="5DA426BF" w14:textId="250F4100" w:rsidR="008E35F8" w:rsidRPr="008E35F8" w:rsidRDefault="008E35F8" w:rsidP="008E35F8">
      <w:pPr>
        <w:pStyle w:val="NormalWeb"/>
        <w:numPr>
          <w:ilvl w:val="0"/>
          <w:numId w:val="17"/>
        </w:numPr>
      </w:pPr>
      <w:r>
        <w:rPr>
          <w:rStyle w:val="Strong"/>
        </w:rPr>
        <w:t>Risk:</w:t>
      </w:r>
      <w:r>
        <w:t xml:space="preserve"> </w:t>
      </w:r>
      <w:r>
        <w:rPr>
          <w:rStyle w:val="Emphasis"/>
        </w:rPr>
        <w:t>Unequal Model Performance Across Groups</w:t>
      </w:r>
      <w:r>
        <w:t xml:space="preserve"> – The model may have higher false positive or false negative rates for certain demographic segments.</w:t>
      </w:r>
      <w:r>
        <w:br/>
      </w:r>
      <w:r>
        <w:rPr>
          <w:rStyle w:val="Strong"/>
        </w:rPr>
        <w:t>Mitigation:</w:t>
      </w:r>
      <w:r>
        <w:t xml:space="preserve"> Evaluate fairness metrics (e.g., disparate impact ratio, equal opportunity) during validation, and adjust decision thresholds or retrain models with balanced data to ensure consistent performance.</w:t>
      </w:r>
    </w:p>
    <w:p w14:paraId="7D6F4FC4" w14:textId="1BF83CE5" w:rsidR="008E35F8" w:rsidRPr="008E35F8" w:rsidRDefault="008E35F8" w:rsidP="008E35F8">
      <w:pPr>
        <w:spacing w:beforeAutospacing="1" w:after="100" w:afterAutospacing="1" w:line="240" w:lineRule="auto"/>
        <w:ind w:right="720"/>
        <w:jc w:val="both"/>
        <w:rPr>
          <w:rFonts w:ascii="Times New Roman" w:eastAsia="Times New Roman" w:hAnsi="Times New Roman" w:cs="Times New Roman"/>
          <w:sz w:val="24"/>
          <w:szCs w:val="24"/>
          <w:lang w:val="en-IN" w:eastAsia="en-IN"/>
        </w:rPr>
      </w:pPr>
      <w:bookmarkStart w:id="0" w:name="_GoBack"/>
      <w:r w:rsidRPr="008E35F8">
        <w:rPr>
          <w:rFonts w:ascii="Times New Roman" w:eastAsia="Times New Roman" w:hAnsi="Times New Roman" w:cs="Times New Roman"/>
          <w:sz w:val="24"/>
          <w:szCs w:val="24"/>
          <w:lang w:val="en-IN" w:eastAsia="en-IN"/>
        </w:rPr>
        <w:t>“The model looks at patterns in past customer data — things like payment history, credit usage, and debt levels — to estimate how likely each customer is to miss a payment in the future. It doesn’t make the final decision, but it gives us a risk score so we can focus on customers who might need extra support. Think of it like a weather forecast: it can’t guarantee rain tomorrow, but it helps us prepare an umbrella just in case.”</w:t>
      </w:r>
    </w:p>
    <w:bookmarkEnd w:id="0"/>
    <w:p w14:paraId="33EC1793" w14:textId="4BE528D6" w:rsidR="007D72C2" w:rsidRPr="00A537D1" w:rsidRDefault="007D72C2">
      <w:pPr>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40792"/>
    <w:multiLevelType w:val="multilevel"/>
    <w:tmpl w:val="4ED0E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7B00"/>
    <w:multiLevelType w:val="hybridMultilevel"/>
    <w:tmpl w:val="17683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524DAC"/>
    <w:multiLevelType w:val="multilevel"/>
    <w:tmpl w:val="224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C3929"/>
    <w:multiLevelType w:val="multilevel"/>
    <w:tmpl w:val="53648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411E7"/>
    <w:multiLevelType w:val="hybridMultilevel"/>
    <w:tmpl w:val="013A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0B5F76"/>
    <w:multiLevelType w:val="multilevel"/>
    <w:tmpl w:val="0E0C5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E0963"/>
    <w:multiLevelType w:val="multilevel"/>
    <w:tmpl w:val="8E68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84BCE"/>
    <w:multiLevelType w:val="multilevel"/>
    <w:tmpl w:val="B45C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9"/>
  </w:num>
  <w:num w:numId="12">
    <w:abstractNumId w:val="15"/>
  </w:num>
  <w:num w:numId="13">
    <w:abstractNumId w:val="12"/>
  </w:num>
  <w:num w:numId="14">
    <w:abstractNumId w:val="11"/>
  </w:num>
  <w:num w:numId="15">
    <w:abstractNumId w:val="13"/>
  </w:num>
  <w:num w:numId="16">
    <w:abstractNumId w:val="1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76BF"/>
    <w:rsid w:val="0029639D"/>
    <w:rsid w:val="00326F90"/>
    <w:rsid w:val="00671C61"/>
    <w:rsid w:val="007D72C2"/>
    <w:rsid w:val="008237CA"/>
    <w:rsid w:val="008E35F8"/>
    <w:rsid w:val="00A537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paragraph" w:styleId="NormalWeb">
    <w:name w:val="Normal (Web)"/>
    <w:basedOn w:val="Normal"/>
    <w:uiPriority w:val="99"/>
    <w:unhideWhenUsed/>
    <w:rsid w:val="00671C61"/>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39698">
      <w:bodyDiv w:val="1"/>
      <w:marLeft w:val="0"/>
      <w:marRight w:val="0"/>
      <w:marTop w:val="0"/>
      <w:marBottom w:val="0"/>
      <w:divBdr>
        <w:top w:val="none" w:sz="0" w:space="0" w:color="auto"/>
        <w:left w:val="none" w:sz="0" w:space="0" w:color="auto"/>
        <w:bottom w:val="none" w:sz="0" w:space="0" w:color="auto"/>
        <w:right w:val="none" w:sz="0" w:space="0" w:color="auto"/>
      </w:divBdr>
    </w:div>
    <w:div w:id="203912405">
      <w:bodyDiv w:val="1"/>
      <w:marLeft w:val="0"/>
      <w:marRight w:val="0"/>
      <w:marTop w:val="0"/>
      <w:marBottom w:val="0"/>
      <w:divBdr>
        <w:top w:val="none" w:sz="0" w:space="0" w:color="auto"/>
        <w:left w:val="none" w:sz="0" w:space="0" w:color="auto"/>
        <w:bottom w:val="none" w:sz="0" w:space="0" w:color="auto"/>
        <w:right w:val="none" w:sz="0" w:space="0" w:color="auto"/>
      </w:divBdr>
    </w:div>
    <w:div w:id="563031985">
      <w:bodyDiv w:val="1"/>
      <w:marLeft w:val="0"/>
      <w:marRight w:val="0"/>
      <w:marTop w:val="0"/>
      <w:marBottom w:val="0"/>
      <w:divBdr>
        <w:top w:val="none" w:sz="0" w:space="0" w:color="auto"/>
        <w:left w:val="none" w:sz="0" w:space="0" w:color="auto"/>
        <w:bottom w:val="none" w:sz="0" w:space="0" w:color="auto"/>
        <w:right w:val="none" w:sz="0" w:space="0" w:color="auto"/>
      </w:divBdr>
    </w:div>
    <w:div w:id="823737093">
      <w:bodyDiv w:val="1"/>
      <w:marLeft w:val="0"/>
      <w:marRight w:val="0"/>
      <w:marTop w:val="0"/>
      <w:marBottom w:val="0"/>
      <w:divBdr>
        <w:top w:val="none" w:sz="0" w:space="0" w:color="auto"/>
        <w:left w:val="none" w:sz="0" w:space="0" w:color="auto"/>
        <w:bottom w:val="none" w:sz="0" w:space="0" w:color="auto"/>
        <w:right w:val="none" w:sz="0" w:space="0" w:color="auto"/>
      </w:divBdr>
    </w:div>
    <w:div w:id="1332874370">
      <w:bodyDiv w:val="1"/>
      <w:marLeft w:val="0"/>
      <w:marRight w:val="0"/>
      <w:marTop w:val="0"/>
      <w:marBottom w:val="0"/>
      <w:divBdr>
        <w:top w:val="none" w:sz="0" w:space="0" w:color="auto"/>
        <w:left w:val="none" w:sz="0" w:space="0" w:color="auto"/>
        <w:bottom w:val="none" w:sz="0" w:space="0" w:color="auto"/>
        <w:right w:val="none" w:sz="0" w:space="0" w:color="auto"/>
      </w:divBdr>
      <w:divsChild>
        <w:div w:id="184038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9409524">
      <w:bodyDiv w:val="1"/>
      <w:marLeft w:val="0"/>
      <w:marRight w:val="0"/>
      <w:marTop w:val="0"/>
      <w:marBottom w:val="0"/>
      <w:divBdr>
        <w:top w:val="none" w:sz="0" w:space="0" w:color="auto"/>
        <w:left w:val="none" w:sz="0" w:space="0" w:color="auto"/>
        <w:bottom w:val="none" w:sz="0" w:space="0" w:color="auto"/>
        <w:right w:val="none" w:sz="0" w:space="0" w:color="auto"/>
      </w:divBdr>
    </w:div>
    <w:div w:id="1864856168">
      <w:bodyDiv w:val="1"/>
      <w:marLeft w:val="0"/>
      <w:marRight w:val="0"/>
      <w:marTop w:val="0"/>
      <w:marBottom w:val="0"/>
      <w:divBdr>
        <w:top w:val="none" w:sz="0" w:space="0" w:color="auto"/>
        <w:left w:val="none" w:sz="0" w:space="0" w:color="auto"/>
        <w:bottom w:val="none" w:sz="0" w:space="0" w:color="auto"/>
        <w:right w:val="none" w:sz="0" w:space="0" w:color="auto"/>
      </w:divBdr>
      <w:divsChild>
        <w:div w:id="1325816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7A4A77-35CB-4B02-9023-07FB37818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3134</Characters>
  <Application>Microsoft Office Word</Application>
  <DocSecurity>0</DocSecurity>
  <Lines>87</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maddu</cp:lastModifiedBy>
  <cp:revision>2</cp:revision>
  <dcterms:created xsi:type="dcterms:W3CDTF">2025-08-09T10:58:00Z</dcterms:created>
  <dcterms:modified xsi:type="dcterms:W3CDTF">2025-08-09T10:58:00Z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2ccc1c56-8d0e-4367-b27c-fa2b0a053559</vt:lpwstr>
  </property>
</Properties>
</file>