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Cascading Style sheet for designing the  web page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1.0404624277456"/>
        <w:gridCol w:w="8818.959537572253"/>
        <w:tblGridChange w:id="0">
          <w:tblGrid>
            <w:gridCol w:w="541.0404624277456"/>
            <w:gridCol w:w="8818.95953757225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"https://i.pinimg.com/originals/41/ce/e6/41cee68e61db57391897fddc3fd5708d.jpg"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no-repeat;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cover;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max-width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700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relative;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 auto;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rgba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font-family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Quicksand;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center;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 solid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#19bf7d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outline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max-width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relative;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:auto;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outline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#19bf7d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:center;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:white;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text-shadow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#000000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-webkit-scrollbar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: 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