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976D2"/>
          <w:sz w:val="56"/>
        </w:rPr>
        <w:t>Sona Workflow System</w:t>
      </w:r>
    </w:p>
    <w:p>
      <w:pPr>
        <w:jc w:val="center"/>
      </w:pPr>
      <w:r>
        <w:rPr>
          <w:color w:val="424242"/>
          <w:sz w:val="40"/>
        </w:rPr>
        <w:t>Configuration File Manual</w:t>
      </w:r>
    </w:p>
    <w:p/>
    <w:p>
      <w:pPr>
        <w:jc w:val="center"/>
      </w:pPr>
      <w:r>
        <w:rPr>
          <w:rFonts w:ascii="Consolas" w:hAnsi="Consolas"/>
          <w:color w:val="FF9800"/>
          <w:sz w:val="32"/>
        </w:rPr>
        <w:t>config.sona</w:t>
      </w:r>
    </w:p>
    <w:p/>
    <w:p/>
    <w:p/>
    <w:p>
      <w:pPr>
        <w:jc w:val="center"/>
      </w:pPr>
      <w:r>
        <w:rPr>
          <w:color w:val="666666"/>
          <w:sz w:val="24"/>
        </w:rPr>
        <w:t>Version 1.5.0</w:t>
        <w:br/>
        <w:t>April 01, 2026</w:t>
      </w:r>
    </w:p>
    <w:p/>
    <w:p>
      <w:pPr>
        <w:jc w:val="center"/>
      </w:pPr>
      <w:r>
        <w:rPr>
          <w:color w:val="999999"/>
          <w:sz w:val="22"/>
        </w:rPr>
        <w:t>Acad Arch Solutions Pvt. Ltd.</w:t>
      </w:r>
    </w:p>
    <w:p>
      <w:r>
        <w:br w:type="page"/>
      </w:r>
    </w:p>
    <w:p>
      <w:pPr>
        <w:pStyle w:val="Heading1"/>
      </w:pPr>
      <w:r>
        <w:t>Table of Contents</w:t>
      </w:r>
    </w:p>
    <w:p>
      <w:r>
        <w:rPr>
          <w:b/>
          <w:sz w:val="22"/>
        </w:rPr>
        <w:t>1.  Introduction</w:t>
      </w:r>
    </w:p>
    <w:p>
      <w:r>
        <w:rPr>
          <w:b/>
          <w:sz w:val="22"/>
        </w:rPr>
        <w:t>2.  File Location</w:t>
      </w:r>
    </w:p>
    <w:p>
      <w:r>
        <w:rPr>
          <w:b/>
          <w:sz w:val="22"/>
        </w:rPr>
        <w:t>3.  File Format</w:t>
      </w:r>
    </w:p>
    <w:p>
      <w:r>
        <w:rPr>
          <w:b/>
          <w:sz w:val="22"/>
        </w:rPr>
        <w:t>4.  Configuration Sections</w:t>
      </w:r>
    </w:p>
    <w:p>
      <w:r>
        <w:rPr>
          <w:sz w:val="22"/>
        </w:rPr>
        <w:t xml:space="preserve">  4.1  Database Configuration</w:t>
      </w:r>
    </w:p>
    <w:p>
      <w:r>
        <w:rPr>
          <w:sz w:val="22"/>
        </w:rPr>
        <w:t xml:space="preserve">  4.2  Server Configuration</w:t>
      </w:r>
    </w:p>
    <w:p>
      <w:r>
        <w:rPr>
          <w:sz w:val="22"/>
        </w:rPr>
        <w:t xml:space="preserve">  4.3  Mail Configuration</w:t>
      </w:r>
    </w:p>
    <w:p>
      <w:r>
        <w:rPr>
          <w:sz w:val="22"/>
        </w:rPr>
        <w:t xml:space="preserve">  4.4  Application Configuration</w:t>
      </w:r>
    </w:p>
    <w:p>
      <w:r>
        <w:rPr>
          <w:b/>
          <w:sz w:val="22"/>
        </w:rPr>
        <w:t>5.  Complete Example</w:t>
      </w:r>
    </w:p>
    <w:p>
      <w:r>
        <w:rPr>
          <w:b/>
          <w:sz w:val="22"/>
        </w:rPr>
        <w:t>6.  Common Scenarios</w:t>
      </w:r>
    </w:p>
    <w:p>
      <w:r>
        <w:rPr>
          <w:sz w:val="22"/>
        </w:rPr>
        <w:t xml:space="preserve">  6.1  Remote Database</w:t>
      </w:r>
    </w:p>
    <w:p>
      <w:r>
        <w:rPr>
          <w:sz w:val="22"/>
        </w:rPr>
        <w:t xml:space="preserve">  6.2  Change Port</w:t>
      </w:r>
    </w:p>
    <w:p>
      <w:r>
        <w:rPr>
          <w:sz w:val="22"/>
        </w:rPr>
        <w:t xml:space="preserve">  6.3  Email Setup</w:t>
      </w:r>
    </w:p>
    <w:p>
      <w:r>
        <w:rPr>
          <w:sz w:val="22"/>
        </w:rPr>
        <w:t xml:space="preserve">  6.4  Production Deployment</w:t>
      </w:r>
    </w:p>
    <w:p>
      <w:r>
        <w:rPr>
          <w:sz w:val="22"/>
        </w:rPr>
        <w:t xml:space="preserve">  6.5  Minimal Config</w:t>
      </w:r>
    </w:p>
    <w:p>
      <w:r>
        <w:rPr>
          <w:b/>
          <w:sz w:val="22"/>
        </w:rPr>
        <w:t>7.  Startup Verification</w:t>
      </w:r>
    </w:p>
    <w:p>
      <w:r>
        <w:rPr>
          <w:b/>
          <w:sz w:val="22"/>
        </w:rPr>
        <w:t>8.  Troubleshooting</w:t>
      </w:r>
    </w:p>
    <w:p>
      <w:r>
        <w:rPr>
          <w:b/>
          <w:sz w:val="22"/>
        </w:rPr>
        <w:t>9.  Security Considerations</w:t>
      </w:r>
    </w:p>
    <w:p>
      <w:r>
        <w:br w:type="page"/>
      </w:r>
    </w:p>
    <w:p>
      <w:pPr>
        <w:pStyle w:val="Heading1"/>
      </w:pPr>
      <w:r>
        <w:t>1. Introduction</w:t>
      </w:r>
    </w:p>
    <w:p>
      <w:r>
        <w:t>The config.sona file is the primary configuration file for the Sona Workflow System. It allows administrators to configure database connections, server settings, email integration, and application parameters without modifying internal configuration files.</w:t>
      </w:r>
    </w:p>
    <w:p>
      <w:r>
        <w:t>The file uses JSON format and is designed to be human-readable. When present, settings in config.sona override the application defaults.</w:t>
      </w:r>
    </w:p>
    <w:p>
      <w:r>
        <w:rPr>
          <w:b/>
        </w:rPr>
        <w:t>Key Benefits:</w:t>
      </w:r>
    </w:p>
    <w:p>
      <w:pPr>
        <w:pStyle w:val="ListBullet"/>
      </w:pPr>
      <w:r>
        <w:t>Configure database connections for different environments</w:t>
      </w:r>
    </w:p>
    <w:p>
      <w:pPr>
        <w:pStyle w:val="ListBullet"/>
      </w:pPr>
      <w:r>
        <w:t>Change server port without recompiling</w:t>
      </w:r>
    </w:p>
    <w:p>
      <w:pPr>
        <w:pStyle w:val="ListBullet"/>
      </w:pPr>
      <w:r>
        <w:t>Set up email notifications for workflow approvals</w:t>
      </w:r>
    </w:p>
    <w:p>
      <w:pPr>
        <w:pStyle w:val="ListBullet"/>
      </w:pPr>
      <w:r>
        <w:t>Customize file storage paths</w:t>
      </w:r>
    </w:p>
    <w:p>
      <w:pPr>
        <w:pStyle w:val="ListBullet"/>
      </w:pPr>
      <w:r>
        <w:t>Secure sensitive credentials outside the JAR</w:t>
      </w:r>
    </w:p>
    <w:p>
      <w:pPr>
        <w:pStyle w:val="ListBullet"/>
      </w:pPr>
      <w:r>
        <w:t>Only include sections you need to override</w:t>
      </w:r>
    </w:p>
    <w:p>
      <w:pPr>
        <w:pStyle w:val="Heading1"/>
      </w:pPr>
      <w:r>
        <w:t>2. File Location</w:t>
      </w:r>
    </w:p>
    <w:p>
      <w:r>
        <w:t>On startup, the system searches for config.sona in these locations (first found wins):</w:t>
      </w:r>
    </w:p>
    <w:tbl>
      <w:tblPr>
        <w:tblStyle w:val="TableGrid"/>
        <w:tblW w:type="auto" w:w="0"/>
        <w:tblLook w:firstColumn="1" w:firstRow="1" w:lastColumn="0" w:lastRow="0" w:noHBand="0" w:noVBand="1" w:val="04A0"/>
      </w:tblPr>
      <w:tblGrid>
        <w:gridCol w:w="3135"/>
        <w:gridCol w:w="3135"/>
        <w:gridCol w:w="3135"/>
      </w:tblGrid>
      <w:tr>
        <w:tc>
          <w:tcPr>
            <w:tcW w:type="dxa" w:w="3135"/>
            <w:shd w:fill="1976D2" w:val="clear"/>
          </w:tcPr>
          <w:p>
            <w:r>
              <w:rPr>
                <w:rFonts w:ascii="Calibri" w:hAnsi="Calibri"/>
                <w:b/>
                <w:color w:val="FFFFFF"/>
                <w:sz w:val="20"/>
              </w:rPr>
              <w:t>Priority</w:t>
            </w:r>
          </w:p>
        </w:tc>
        <w:tc>
          <w:tcPr>
            <w:tcW w:type="dxa" w:w="3135"/>
            <w:shd w:fill="1976D2" w:val="clear"/>
          </w:tcPr>
          <w:p>
            <w:r>
              <w:rPr>
                <w:rFonts w:ascii="Calibri" w:hAnsi="Calibri"/>
                <w:b/>
                <w:color w:val="FFFFFF"/>
                <w:sz w:val="20"/>
              </w:rPr>
              <w:t>Location</w:t>
            </w:r>
          </w:p>
        </w:tc>
        <w:tc>
          <w:tcPr>
            <w:tcW w:type="dxa" w:w="3135"/>
            <w:shd w:fill="1976D2" w:val="clear"/>
          </w:tcPr>
          <w:p>
            <w:r>
              <w:rPr>
                <w:rFonts w:ascii="Calibri" w:hAnsi="Calibri"/>
                <w:b/>
                <w:color w:val="FFFFFF"/>
                <w:sz w:val="20"/>
              </w:rPr>
              <w:t>Description</w:t>
            </w:r>
          </w:p>
        </w:tc>
      </w:tr>
      <w:tr>
        <w:tc>
          <w:tcPr>
            <w:tcW w:type="dxa" w:w="3135"/>
          </w:tcPr>
          <w:p>
            <w:r>
              <w:rPr>
                <w:rFonts w:ascii="Calibri" w:hAnsi="Calibri"/>
                <w:sz w:val="20"/>
              </w:rPr>
              <w:t>1</w:t>
            </w:r>
          </w:p>
        </w:tc>
        <w:tc>
          <w:tcPr>
            <w:tcW w:type="dxa" w:w="3135"/>
          </w:tcPr>
          <w:p>
            <w:r>
              <w:rPr>
                <w:rFonts w:ascii="Calibri" w:hAnsi="Calibri"/>
                <w:sz w:val="20"/>
              </w:rPr>
              <w:t>Current working directory</w:t>
            </w:r>
          </w:p>
        </w:tc>
        <w:tc>
          <w:tcPr>
            <w:tcW w:type="dxa" w:w="3135"/>
          </w:tcPr>
          <w:p>
            <w:r>
              <w:rPr>
                <w:rFonts w:ascii="Calibri" w:hAnsi="Calibri"/>
                <w:sz w:val="20"/>
              </w:rPr>
              <w:t>Directory the application is launched from</w:t>
            </w:r>
          </w:p>
        </w:tc>
      </w:tr>
      <w:tr>
        <w:tc>
          <w:tcPr>
            <w:tcW w:type="dxa" w:w="3135"/>
          </w:tcPr>
          <w:p>
            <w:r>
              <w:rPr>
                <w:rFonts w:ascii="Calibri" w:hAnsi="Calibri"/>
                <w:sz w:val="20"/>
              </w:rPr>
              <w:t>2</w:t>
            </w:r>
          </w:p>
        </w:tc>
        <w:tc>
          <w:tcPr>
            <w:tcW w:type="dxa" w:w="3135"/>
          </w:tcPr>
          <w:p>
            <w:r>
              <w:rPr>
                <w:rFonts w:ascii="Calibri" w:hAnsi="Calibri"/>
                <w:sz w:val="20"/>
              </w:rPr>
              <w:t>Parent directory</w:t>
            </w:r>
          </w:p>
        </w:tc>
        <w:tc>
          <w:tcPr>
            <w:tcW w:type="dxa" w:w="3135"/>
          </w:tcPr>
          <w:p>
            <w:r>
              <w:rPr>
                <w:rFonts w:ascii="Calibri" w:hAnsi="Calibri"/>
                <w:sz w:val="20"/>
              </w:rPr>
              <w:t>One level up from working directory</w:t>
            </w:r>
          </w:p>
        </w:tc>
      </w:tr>
      <w:tr>
        <w:tc>
          <w:tcPr>
            <w:tcW w:type="dxa" w:w="3135"/>
          </w:tcPr>
          <w:p>
            <w:r>
              <w:rPr>
                <w:rFonts w:ascii="Calibri" w:hAnsi="Calibri"/>
                <w:sz w:val="20"/>
              </w:rPr>
              <w:t>3</w:t>
            </w:r>
          </w:p>
        </w:tc>
        <w:tc>
          <w:tcPr>
            <w:tcW w:type="dxa" w:w="3135"/>
          </w:tcPr>
          <w:p>
            <w:r>
              <w:rPr>
                <w:rFonts w:ascii="Calibri" w:hAnsi="Calibri"/>
                <w:sz w:val="20"/>
              </w:rPr>
              <w:t>JAR/EXE directory</w:t>
            </w:r>
          </w:p>
        </w:tc>
        <w:tc>
          <w:tcPr>
            <w:tcW w:type="dxa" w:w="3135"/>
          </w:tcPr>
          <w:p>
            <w:r>
              <w:rPr>
                <w:rFonts w:ascii="Calibri" w:hAnsi="Calibri"/>
                <w:sz w:val="20"/>
              </w:rPr>
              <w:t>Same folder as the application executable</w:t>
            </w:r>
          </w:p>
        </w:tc>
      </w:tr>
      <w:tr>
        <w:tc>
          <w:tcPr>
            <w:tcW w:type="dxa" w:w="3135"/>
          </w:tcPr>
          <w:p>
            <w:r>
              <w:rPr>
                <w:rFonts w:ascii="Calibri" w:hAnsi="Calibri"/>
                <w:sz w:val="20"/>
              </w:rPr>
              <w:t>4</w:t>
            </w:r>
          </w:p>
        </w:tc>
        <w:tc>
          <w:tcPr>
            <w:tcW w:type="dxa" w:w="3135"/>
          </w:tcPr>
          <w:p>
            <w:r>
              <w:rPr>
                <w:rFonts w:ascii="Calibri" w:hAnsi="Calibri"/>
                <w:sz w:val="20"/>
              </w:rPr>
              <w:t>User home directory</w:t>
            </w:r>
          </w:p>
        </w:tc>
        <w:tc>
          <w:tcPr>
            <w:tcW w:type="dxa" w:w="3135"/>
          </w:tcPr>
          <w:p>
            <w:r>
              <w:rPr>
                <w:rFonts w:ascii="Calibri" w:hAnsi="Calibri"/>
                <w:sz w:val="20"/>
              </w:rPr>
              <w:t>C:\Users\&lt;username&gt;\ on Windows</w:t>
            </w:r>
          </w:p>
        </w:tc>
      </w:tr>
    </w:tbl>
    <w:p/>
    <w:p>
      <w:r>
        <w:rPr>
          <w:b/>
        </w:rPr>
        <w:t xml:space="preserve">For MSI installations: </w:t>
      </w:r>
      <w:r>
        <w:t>Place in the installation directory, typically:</w:t>
      </w:r>
    </w:p>
    <w:p>
      <w:pPr>
        <w:spacing w:before="120" w:after="120"/>
        <w:shd w:fill="F5F5F5" w:val="clear"/>
      </w:pPr>
      <w:r>
        <w:rPr>
          <w:rFonts w:ascii="Consolas" w:hAnsi="Consolas"/>
          <w:color w:val="1A1A2E"/>
          <w:sz w:val="18"/>
        </w:rPr>
        <w:t>C:\Program Files\Sona\Workflow System\config.sona</w:t>
      </w:r>
    </w:p>
    <w:p>
      <w:r>
        <w:rPr>
          <w:b/>
        </w:rPr>
        <w:t xml:space="preserve">For JAR deployments: </w:t>
      </w:r>
      <w:r>
        <w:t>Place next to the JAR file:</w:t>
      </w:r>
    </w:p>
    <w:p>
      <w:pPr>
        <w:spacing w:before="120" w:after="120"/>
        <w:shd w:fill="F5F5F5" w:val="clear"/>
      </w:pPr>
      <w:r>
        <w:rPr>
          <w:rFonts w:ascii="Consolas" w:hAnsi="Consolas"/>
          <w:color w:val="1A1A2E"/>
          <w:sz w:val="18"/>
        </w:rPr>
        <w:t>C:\Sona\workflow-system-1.5.0.jar</w:t>
        <w:br/>
        <w:t>C:\Sona\config.sona</w:t>
      </w:r>
    </w:p>
    <w:p>
      <w:pPr>
        <w:pStyle w:val="Heading1"/>
      </w:pPr>
      <w:r>
        <w:t>3. File Format</w:t>
      </w:r>
    </w:p>
    <w:p>
      <w:r>
        <w:t>The file uses standard JSON format. It must be valid JSON.</w:t>
      </w:r>
    </w:p>
    <w:p>
      <w:r>
        <w:rPr>
          <w:b/>
        </w:rPr>
        <w:t>Rules:</w:t>
      </w:r>
    </w:p>
    <w:p>
      <w:pPr>
        <w:pStyle w:val="ListBullet"/>
      </w:pPr>
      <w:r>
        <w:t>All string values in double quotes ("value")</w:t>
      </w:r>
    </w:p>
    <w:p>
      <w:pPr>
        <w:pStyle w:val="ListBullet"/>
      </w:pPr>
      <w:r>
        <w:t>Numbers without quotes (5432)</w:t>
      </w:r>
    </w:p>
    <w:p>
      <w:pPr>
        <w:pStyle w:val="ListBullet"/>
      </w:pPr>
      <w:r>
        <w:t>No comments (// or /* */ are not allowed)</w:t>
      </w:r>
    </w:p>
    <w:p>
      <w:pPr>
        <w:pStyle w:val="ListBullet"/>
      </w:pPr>
      <w:r>
        <w:t>UTF-8 encoding</w:t>
      </w:r>
    </w:p>
    <w:p>
      <w:pPr>
        <w:pStyle w:val="ListBullet"/>
      </w:pPr>
      <w:r>
        <w:t>No trailing commas</w:t>
      </w:r>
    </w:p>
    <w:p>
      <w:pPr>
        <w:pStyle w:val="Heading1"/>
      </w:pPr>
      <w:r>
        <w:t>4. Configuration Sections</w:t>
      </w:r>
    </w:p>
    <w:p>
      <w:r>
        <w:t>All sections are optional. Only include what you need to override.</w:t>
      </w:r>
    </w:p>
    <w:p>
      <w:pPr>
        <w:pStyle w:val="Heading2"/>
      </w:pPr>
      <w:r>
        <w:t>4.1 Database Configuration</w:t>
      </w:r>
    </w:p>
    <w:p>
      <w:r>
        <w:t>Configures the PostgreSQL database connection.</w:t>
      </w:r>
    </w:p>
    <w:p>
      <w:pPr>
        <w:spacing w:before="120" w:after="120"/>
        <w:shd w:fill="F5F5F5" w:val="clear"/>
      </w:pPr>
      <w:r>
        <w:rPr>
          <w:rFonts w:ascii="Consolas" w:hAnsi="Consolas"/>
          <w:color w:val="1A1A2E"/>
          <w:sz w:val="18"/>
        </w:rPr>
        <w:t>{</w:t>
        <w:br/>
        <w:t xml:space="preserve">  "database": {</w:t>
        <w:br/>
        <w:t xml:space="preserve">    "host": "localhost",</w:t>
        <w:br/>
        <w:t xml:space="preserve">    "port": 5432,</w:t>
        <w:br/>
        <w:t xml:space="preserve">    "name": "workflow",</w:t>
        <w:br/>
        <w:t xml:space="preserve">    "username": "sonar",</w:t>
        <w:br/>
        <w:t xml:space="preserve">    "password": "P@88345!"</w:t>
        <w:br/>
        <w:t xml:space="preserve">  }</w:t>
        <w:b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976D2" w:val="clear"/>
          </w:tcPr>
          <w:p>
            <w:r>
              <w:rPr>
                <w:rFonts w:ascii="Calibri" w:hAnsi="Calibri"/>
                <w:b/>
                <w:color w:val="FFFFFF"/>
                <w:sz w:val="20"/>
              </w:rPr>
              <w:t>Property</w:t>
            </w:r>
          </w:p>
        </w:tc>
        <w:tc>
          <w:tcPr>
            <w:tcW w:type="dxa" w:w="2351"/>
            <w:shd w:fill="1976D2" w:val="clear"/>
          </w:tcPr>
          <w:p>
            <w:r>
              <w:rPr>
                <w:rFonts w:ascii="Calibri" w:hAnsi="Calibri"/>
                <w:b/>
                <w:color w:val="FFFFFF"/>
                <w:sz w:val="20"/>
              </w:rPr>
              <w:t>Type</w:t>
            </w:r>
          </w:p>
        </w:tc>
        <w:tc>
          <w:tcPr>
            <w:tcW w:type="dxa" w:w="2351"/>
            <w:shd w:fill="1976D2" w:val="clear"/>
          </w:tcPr>
          <w:p>
            <w:r>
              <w:rPr>
                <w:rFonts w:ascii="Calibri" w:hAnsi="Calibri"/>
                <w:b/>
                <w:color w:val="FFFFFF"/>
                <w:sz w:val="20"/>
              </w:rPr>
              <w:t>Default</w:t>
            </w:r>
          </w:p>
        </w:tc>
        <w:tc>
          <w:tcPr>
            <w:tcW w:type="dxa" w:w="2351"/>
            <w:shd w:fill="1976D2" w:val="clear"/>
          </w:tcPr>
          <w:p>
            <w:r>
              <w:rPr>
                <w:rFonts w:ascii="Calibri" w:hAnsi="Calibri"/>
                <w:b/>
                <w:color w:val="FFFFFF"/>
                <w:sz w:val="20"/>
              </w:rPr>
              <w:t>Description</w:t>
            </w:r>
          </w:p>
        </w:tc>
      </w:tr>
      <w:tr>
        <w:tc>
          <w:tcPr>
            <w:tcW w:type="dxa" w:w="2351"/>
          </w:tcPr>
          <w:p>
            <w:r>
              <w:rPr>
                <w:rFonts w:ascii="Calibri" w:hAnsi="Calibri"/>
                <w:sz w:val="20"/>
              </w:rPr>
              <w:t>host</w:t>
            </w:r>
          </w:p>
        </w:tc>
        <w:tc>
          <w:tcPr>
            <w:tcW w:type="dxa" w:w="2351"/>
          </w:tcPr>
          <w:p>
            <w:r>
              <w:rPr>
                <w:rFonts w:ascii="Calibri" w:hAnsi="Calibri"/>
                <w:sz w:val="20"/>
              </w:rPr>
              <w:t>String</w:t>
            </w:r>
          </w:p>
        </w:tc>
        <w:tc>
          <w:tcPr>
            <w:tcW w:type="dxa" w:w="2351"/>
          </w:tcPr>
          <w:p>
            <w:r>
              <w:rPr>
                <w:rFonts w:ascii="Calibri" w:hAnsi="Calibri"/>
                <w:sz w:val="20"/>
              </w:rPr>
              <w:t>localhost</w:t>
            </w:r>
          </w:p>
        </w:tc>
        <w:tc>
          <w:tcPr>
            <w:tcW w:type="dxa" w:w="2351"/>
          </w:tcPr>
          <w:p>
            <w:r>
              <w:rPr>
                <w:rFonts w:ascii="Calibri" w:hAnsi="Calibri"/>
                <w:sz w:val="20"/>
              </w:rPr>
              <w:t>Database server hostname or IP</w:t>
            </w:r>
          </w:p>
        </w:tc>
      </w:tr>
      <w:tr>
        <w:tc>
          <w:tcPr>
            <w:tcW w:type="dxa" w:w="2351"/>
          </w:tcPr>
          <w:p>
            <w:r>
              <w:rPr>
                <w:rFonts w:ascii="Calibri" w:hAnsi="Calibri"/>
                <w:sz w:val="20"/>
              </w:rPr>
              <w:t>port</w:t>
            </w:r>
          </w:p>
        </w:tc>
        <w:tc>
          <w:tcPr>
            <w:tcW w:type="dxa" w:w="2351"/>
          </w:tcPr>
          <w:p>
            <w:r>
              <w:rPr>
                <w:rFonts w:ascii="Calibri" w:hAnsi="Calibri"/>
                <w:sz w:val="20"/>
              </w:rPr>
              <w:t>Number</w:t>
            </w:r>
          </w:p>
        </w:tc>
        <w:tc>
          <w:tcPr>
            <w:tcW w:type="dxa" w:w="2351"/>
          </w:tcPr>
          <w:p>
            <w:r>
              <w:rPr>
                <w:rFonts w:ascii="Calibri" w:hAnsi="Calibri"/>
                <w:sz w:val="20"/>
              </w:rPr>
              <w:t>5432</w:t>
            </w:r>
          </w:p>
        </w:tc>
        <w:tc>
          <w:tcPr>
            <w:tcW w:type="dxa" w:w="2351"/>
          </w:tcPr>
          <w:p>
            <w:r>
              <w:rPr>
                <w:rFonts w:ascii="Calibri" w:hAnsi="Calibri"/>
                <w:sz w:val="20"/>
              </w:rPr>
              <w:t>PostgreSQL port</w:t>
            </w:r>
          </w:p>
        </w:tc>
      </w:tr>
      <w:tr>
        <w:tc>
          <w:tcPr>
            <w:tcW w:type="dxa" w:w="2351"/>
          </w:tcPr>
          <w:p>
            <w:r>
              <w:rPr>
                <w:rFonts w:ascii="Calibri" w:hAnsi="Calibri"/>
                <w:sz w:val="20"/>
              </w:rPr>
              <w:t>name</w:t>
            </w:r>
          </w:p>
        </w:tc>
        <w:tc>
          <w:tcPr>
            <w:tcW w:type="dxa" w:w="2351"/>
          </w:tcPr>
          <w:p>
            <w:r>
              <w:rPr>
                <w:rFonts w:ascii="Calibri" w:hAnsi="Calibri"/>
                <w:sz w:val="20"/>
              </w:rPr>
              <w:t>String</w:t>
            </w:r>
          </w:p>
        </w:tc>
        <w:tc>
          <w:tcPr>
            <w:tcW w:type="dxa" w:w="2351"/>
          </w:tcPr>
          <w:p>
            <w:r>
              <w:rPr>
                <w:rFonts w:ascii="Calibri" w:hAnsi="Calibri"/>
                <w:sz w:val="20"/>
              </w:rPr>
              <w:t>workflow</w:t>
            </w:r>
          </w:p>
        </w:tc>
        <w:tc>
          <w:tcPr>
            <w:tcW w:type="dxa" w:w="2351"/>
          </w:tcPr>
          <w:p>
            <w:r>
              <w:rPr>
                <w:rFonts w:ascii="Calibri" w:hAnsi="Calibri"/>
                <w:sz w:val="20"/>
              </w:rPr>
              <w:t>Database name</w:t>
            </w:r>
          </w:p>
        </w:tc>
      </w:tr>
      <w:tr>
        <w:tc>
          <w:tcPr>
            <w:tcW w:type="dxa" w:w="2351"/>
          </w:tcPr>
          <w:p>
            <w:r>
              <w:rPr>
                <w:rFonts w:ascii="Calibri" w:hAnsi="Calibri"/>
                <w:sz w:val="20"/>
              </w:rPr>
              <w:t>username</w:t>
            </w:r>
          </w:p>
        </w:tc>
        <w:tc>
          <w:tcPr>
            <w:tcW w:type="dxa" w:w="2351"/>
          </w:tcPr>
          <w:p>
            <w:r>
              <w:rPr>
                <w:rFonts w:ascii="Calibri" w:hAnsi="Calibri"/>
                <w:sz w:val="20"/>
              </w:rPr>
              <w:t>String</w:t>
            </w:r>
          </w:p>
        </w:tc>
        <w:tc>
          <w:tcPr>
            <w:tcW w:type="dxa" w:w="2351"/>
          </w:tcPr>
          <w:p>
            <w:r>
              <w:rPr>
                <w:rFonts w:ascii="Calibri" w:hAnsi="Calibri"/>
                <w:sz w:val="20"/>
              </w:rPr>
              <w:t>sonar</w:t>
            </w:r>
          </w:p>
        </w:tc>
        <w:tc>
          <w:tcPr>
            <w:tcW w:type="dxa" w:w="2351"/>
          </w:tcPr>
          <w:p>
            <w:r>
              <w:rPr>
                <w:rFonts w:ascii="Calibri" w:hAnsi="Calibri"/>
                <w:sz w:val="20"/>
              </w:rPr>
              <w:t>Database user</w:t>
            </w:r>
          </w:p>
        </w:tc>
      </w:tr>
      <w:tr>
        <w:tc>
          <w:tcPr>
            <w:tcW w:type="dxa" w:w="2351"/>
          </w:tcPr>
          <w:p>
            <w:r>
              <w:rPr>
                <w:rFonts w:ascii="Calibri" w:hAnsi="Calibri"/>
                <w:sz w:val="20"/>
              </w:rPr>
              <w:t>password</w:t>
            </w:r>
          </w:p>
        </w:tc>
        <w:tc>
          <w:tcPr>
            <w:tcW w:type="dxa" w:w="2351"/>
          </w:tcPr>
          <w:p>
            <w:r>
              <w:rPr>
                <w:rFonts w:ascii="Calibri" w:hAnsi="Calibri"/>
                <w:sz w:val="20"/>
              </w:rPr>
              <w:t>String</w:t>
            </w:r>
          </w:p>
        </w:tc>
        <w:tc>
          <w:tcPr>
            <w:tcW w:type="dxa" w:w="2351"/>
          </w:tcPr>
          <w:p>
            <w:r>
              <w:rPr>
                <w:rFonts w:ascii="Calibri" w:hAnsi="Calibri"/>
                <w:sz w:val="20"/>
              </w:rPr>
              <w:t>P@88345!</w:t>
            </w:r>
          </w:p>
        </w:tc>
        <w:tc>
          <w:tcPr>
            <w:tcW w:type="dxa" w:w="2351"/>
          </w:tcPr>
          <w:p>
            <w:r>
              <w:rPr>
                <w:rFonts w:ascii="Calibri" w:hAnsi="Calibri"/>
                <w:sz w:val="20"/>
              </w:rPr>
              <w:t>Database password</w:t>
            </w:r>
          </w:p>
        </w:tc>
      </w:tr>
    </w:tbl>
    <w:p/>
    <w:p>
      <w:r>
        <w:rPr>
          <w:b/>
          <w:color w:val="C62828"/>
        </w:rPr>
        <w:t xml:space="preserve">Note: </w:t>
      </w:r>
      <w:r>
        <w:t>The database must exist before starting. Tables are created automatically.</w:t>
      </w:r>
    </w:p>
    <w:p>
      <w:pPr>
        <w:pStyle w:val="Heading2"/>
      </w:pPr>
      <w:r>
        <w:t>4.2 Server Configuration</w:t>
      </w:r>
    </w:p>
    <w:p>
      <w:pPr>
        <w:spacing w:before="120" w:after="120"/>
        <w:shd w:fill="F5F5F5" w:val="clear"/>
      </w:pPr>
      <w:r>
        <w:rPr>
          <w:rFonts w:ascii="Consolas" w:hAnsi="Consolas"/>
          <w:color w:val="1A1A2E"/>
          <w:sz w:val="18"/>
        </w:rPr>
        <w:t>{</w:t>
        <w:br/>
        <w:t xml:space="preserve">  "server": {</w:t>
        <w:br/>
        <w:t xml:space="preserve">    "port": 9500</w:t>
        <w:br/>
        <w:t xml:space="preserve">  }</w:t>
        <w:b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976D2" w:val="clear"/>
          </w:tcPr>
          <w:p>
            <w:r>
              <w:rPr>
                <w:rFonts w:ascii="Calibri" w:hAnsi="Calibri"/>
                <w:b/>
                <w:color w:val="FFFFFF"/>
                <w:sz w:val="20"/>
              </w:rPr>
              <w:t>Property</w:t>
            </w:r>
          </w:p>
        </w:tc>
        <w:tc>
          <w:tcPr>
            <w:tcW w:type="dxa" w:w="2351"/>
            <w:shd w:fill="1976D2" w:val="clear"/>
          </w:tcPr>
          <w:p>
            <w:r>
              <w:rPr>
                <w:rFonts w:ascii="Calibri" w:hAnsi="Calibri"/>
                <w:b/>
                <w:color w:val="FFFFFF"/>
                <w:sz w:val="20"/>
              </w:rPr>
              <w:t>Type</w:t>
            </w:r>
          </w:p>
        </w:tc>
        <w:tc>
          <w:tcPr>
            <w:tcW w:type="dxa" w:w="2351"/>
            <w:shd w:fill="1976D2" w:val="clear"/>
          </w:tcPr>
          <w:p>
            <w:r>
              <w:rPr>
                <w:rFonts w:ascii="Calibri" w:hAnsi="Calibri"/>
                <w:b/>
                <w:color w:val="FFFFFF"/>
                <w:sz w:val="20"/>
              </w:rPr>
              <w:t>Default</w:t>
            </w:r>
          </w:p>
        </w:tc>
        <w:tc>
          <w:tcPr>
            <w:tcW w:type="dxa" w:w="2351"/>
            <w:shd w:fill="1976D2" w:val="clear"/>
          </w:tcPr>
          <w:p>
            <w:r>
              <w:rPr>
                <w:rFonts w:ascii="Calibri" w:hAnsi="Calibri"/>
                <w:b/>
                <w:color w:val="FFFFFF"/>
                <w:sz w:val="20"/>
              </w:rPr>
              <w:t>Description</w:t>
            </w:r>
          </w:p>
        </w:tc>
      </w:tr>
      <w:tr>
        <w:tc>
          <w:tcPr>
            <w:tcW w:type="dxa" w:w="2351"/>
          </w:tcPr>
          <w:p>
            <w:r>
              <w:rPr>
                <w:rFonts w:ascii="Calibri" w:hAnsi="Calibri"/>
                <w:sz w:val="20"/>
              </w:rPr>
              <w:t>port</w:t>
            </w:r>
          </w:p>
        </w:tc>
        <w:tc>
          <w:tcPr>
            <w:tcW w:type="dxa" w:w="2351"/>
          </w:tcPr>
          <w:p>
            <w:r>
              <w:rPr>
                <w:rFonts w:ascii="Calibri" w:hAnsi="Calibri"/>
                <w:sz w:val="20"/>
              </w:rPr>
              <w:t>Number</w:t>
            </w:r>
          </w:p>
        </w:tc>
        <w:tc>
          <w:tcPr>
            <w:tcW w:type="dxa" w:w="2351"/>
          </w:tcPr>
          <w:p>
            <w:r>
              <w:rPr>
                <w:rFonts w:ascii="Calibri" w:hAnsi="Calibri"/>
                <w:sz w:val="20"/>
              </w:rPr>
              <w:t>9500</w:t>
            </w:r>
          </w:p>
        </w:tc>
        <w:tc>
          <w:tcPr>
            <w:tcW w:type="dxa" w:w="2351"/>
          </w:tcPr>
          <w:p>
            <w:r>
              <w:rPr>
                <w:rFonts w:ascii="Calibri" w:hAnsi="Calibri"/>
                <w:sz w:val="20"/>
              </w:rPr>
              <w:t>HTTP port the application listens on</w:t>
            </w:r>
          </w:p>
        </w:tc>
      </w:tr>
    </w:tbl>
    <w:p>
      <w:pPr>
        <w:pStyle w:val="Heading2"/>
      </w:pPr>
      <w:r>
        <w:t>4.3 Mail Configuration</w:t>
      </w:r>
    </w:p>
    <w:p>
      <w:r>
        <w:t>Configures SMTP email for notifications, approvals, and password resets.</w:t>
      </w:r>
    </w:p>
    <w:p>
      <w:pPr>
        <w:spacing w:before="120" w:after="120"/>
        <w:shd w:fill="F5F5F5" w:val="clear"/>
      </w:pPr>
      <w:r>
        <w:rPr>
          <w:rFonts w:ascii="Consolas" w:hAnsi="Consolas"/>
          <w:color w:val="1A1A2E"/>
          <w:sz w:val="18"/>
        </w:rPr>
        <w:t>{</w:t>
        <w:br/>
        <w:t xml:space="preserve">  "mail": {</w:t>
        <w:br/>
        <w:t xml:space="preserve">    "host": "smtp.gmail.com",</w:t>
        <w:br/>
        <w:t xml:space="preserve">    "port": 587,</w:t>
        <w:br/>
        <w:t xml:space="preserve">    "username": "notifications@company.com",</w:t>
        <w:br/>
        <w:t xml:space="preserve">    "password": "app-specific-password"</w:t>
        <w:br/>
        <w:t xml:space="preserve">  }</w:t>
        <w:b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976D2" w:val="clear"/>
          </w:tcPr>
          <w:p>
            <w:r>
              <w:rPr>
                <w:rFonts w:ascii="Calibri" w:hAnsi="Calibri"/>
                <w:b/>
                <w:color w:val="FFFFFF"/>
                <w:sz w:val="20"/>
              </w:rPr>
              <w:t>Property</w:t>
            </w:r>
          </w:p>
        </w:tc>
        <w:tc>
          <w:tcPr>
            <w:tcW w:type="dxa" w:w="2351"/>
            <w:shd w:fill="1976D2" w:val="clear"/>
          </w:tcPr>
          <w:p>
            <w:r>
              <w:rPr>
                <w:rFonts w:ascii="Calibri" w:hAnsi="Calibri"/>
                <w:b/>
                <w:color w:val="FFFFFF"/>
                <w:sz w:val="20"/>
              </w:rPr>
              <w:t>Type</w:t>
            </w:r>
          </w:p>
        </w:tc>
        <w:tc>
          <w:tcPr>
            <w:tcW w:type="dxa" w:w="2351"/>
            <w:shd w:fill="1976D2" w:val="clear"/>
          </w:tcPr>
          <w:p>
            <w:r>
              <w:rPr>
                <w:rFonts w:ascii="Calibri" w:hAnsi="Calibri"/>
                <w:b/>
                <w:color w:val="FFFFFF"/>
                <w:sz w:val="20"/>
              </w:rPr>
              <w:t>Default</w:t>
            </w:r>
          </w:p>
        </w:tc>
        <w:tc>
          <w:tcPr>
            <w:tcW w:type="dxa" w:w="2351"/>
            <w:shd w:fill="1976D2" w:val="clear"/>
          </w:tcPr>
          <w:p>
            <w:r>
              <w:rPr>
                <w:rFonts w:ascii="Calibri" w:hAnsi="Calibri"/>
                <w:b/>
                <w:color w:val="FFFFFF"/>
                <w:sz w:val="20"/>
              </w:rPr>
              <w:t>Description</w:t>
            </w:r>
          </w:p>
        </w:tc>
      </w:tr>
      <w:tr>
        <w:tc>
          <w:tcPr>
            <w:tcW w:type="dxa" w:w="2351"/>
          </w:tcPr>
          <w:p>
            <w:r>
              <w:rPr>
                <w:rFonts w:ascii="Calibri" w:hAnsi="Calibri"/>
                <w:sz w:val="20"/>
              </w:rPr>
              <w:t>host</w:t>
            </w:r>
          </w:p>
        </w:tc>
        <w:tc>
          <w:tcPr>
            <w:tcW w:type="dxa" w:w="2351"/>
          </w:tcPr>
          <w:p>
            <w:r>
              <w:rPr>
                <w:rFonts w:ascii="Calibri" w:hAnsi="Calibri"/>
                <w:sz w:val="20"/>
              </w:rPr>
              <w:t>String</w:t>
            </w:r>
          </w:p>
        </w:tc>
        <w:tc>
          <w:tcPr>
            <w:tcW w:type="dxa" w:w="2351"/>
          </w:tcPr>
          <w:p>
            <w:r>
              <w:rPr>
                <w:rFonts w:ascii="Calibri" w:hAnsi="Calibri"/>
                <w:sz w:val="20"/>
              </w:rPr>
              <w:t>smtp.gmail.com</w:t>
            </w:r>
          </w:p>
        </w:tc>
        <w:tc>
          <w:tcPr>
            <w:tcW w:type="dxa" w:w="2351"/>
          </w:tcPr>
          <w:p>
            <w:r>
              <w:rPr>
                <w:rFonts w:ascii="Calibri" w:hAnsi="Calibri"/>
                <w:sz w:val="20"/>
              </w:rPr>
              <w:t>SMTP server hostname</w:t>
            </w:r>
          </w:p>
        </w:tc>
      </w:tr>
      <w:tr>
        <w:tc>
          <w:tcPr>
            <w:tcW w:type="dxa" w:w="2351"/>
          </w:tcPr>
          <w:p>
            <w:r>
              <w:rPr>
                <w:rFonts w:ascii="Calibri" w:hAnsi="Calibri"/>
                <w:sz w:val="20"/>
              </w:rPr>
              <w:t>port</w:t>
            </w:r>
          </w:p>
        </w:tc>
        <w:tc>
          <w:tcPr>
            <w:tcW w:type="dxa" w:w="2351"/>
          </w:tcPr>
          <w:p>
            <w:r>
              <w:rPr>
                <w:rFonts w:ascii="Calibri" w:hAnsi="Calibri"/>
                <w:sz w:val="20"/>
              </w:rPr>
              <w:t>Number</w:t>
            </w:r>
          </w:p>
        </w:tc>
        <w:tc>
          <w:tcPr>
            <w:tcW w:type="dxa" w:w="2351"/>
          </w:tcPr>
          <w:p>
            <w:r>
              <w:rPr>
                <w:rFonts w:ascii="Calibri" w:hAnsi="Calibri"/>
                <w:sz w:val="20"/>
              </w:rPr>
              <w:t>587</w:t>
            </w:r>
          </w:p>
        </w:tc>
        <w:tc>
          <w:tcPr>
            <w:tcW w:type="dxa" w:w="2351"/>
          </w:tcPr>
          <w:p>
            <w:r>
              <w:rPr>
                <w:rFonts w:ascii="Calibri" w:hAnsi="Calibri"/>
                <w:sz w:val="20"/>
              </w:rPr>
              <w:t>SMTP port (587=TLS, 465=SSL)</w:t>
            </w:r>
          </w:p>
        </w:tc>
      </w:tr>
      <w:tr>
        <w:tc>
          <w:tcPr>
            <w:tcW w:type="dxa" w:w="2351"/>
          </w:tcPr>
          <w:p>
            <w:r>
              <w:rPr>
                <w:rFonts w:ascii="Calibri" w:hAnsi="Calibri"/>
                <w:sz w:val="20"/>
              </w:rPr>
              <w:t>username</w:t>
            </w:r>
          </w:p>
        </w:tc>
        <w:tc>
          <w:tcPr>
            <w:tcW w:type="dxa" w:w="2351"/>
          </w:tcPr>
          <w:p>
            <w:r>
              <w:rPr>
                <w:rFonts w:ascii="Calibri" w:hAnsi="Calibri"/>
                <w:sz w:val="20"/>
              </w:rPr>
              <w:t>String</w:t>
            </w:r>
          </w:p>
        </w:tc>
        <w:tc>
          <w:tcPr>
            <w:tcW w:type="dxa" w:w="2351"/>
          </w:tcPr>
          <w:p>
            <w:r>
              <w:rPr>
                <w:rFonts w:ascii="Calibri" w:hAnsi="Calibri"/>
                <w:sz w:val="20"/>
              </w:rPr>
              <w:t>(empty)</w:t>
            </w:r>
          </w:p>
        </w:tc>
        <w:tc>
          <w:tcPr>
            <w:tcW w:type="dxa" w:w="2351"/>
          </w:tcPr>
          <w:p>
            <w:r>
              <w:rPr>
                <w:rFonts w:ascii="Calibri" w:hAnsi="Calibri"/>
                <w:sz w:val="20"/>
              </w:rPr>
              <w:t>SMTP username/email</w:t>
            </w:r>
          </w:p>
        </w:tc>
      </w:tr>
      <w:tr>
        <w:tc>
          <w:tcPr>
            <w:tcW w:type="dxa" w:w="2351"/>
          </w:tcPr>
          <w:p>
            <w:r>
              <w:rPr>
                <w:rFonts w:ascii="Calibri" w:hAnsi="Calibri"/>
                <w:sz w:val="20"/>
              </w:rPr>
              <w:t>password</w:t>
            </w:r>
          </w:p>
        </w:tc>
        <w:tc>
          <w:tcPr>
            <w:tcW w:type="dxa" w:w="2351"/>
          </w:tcPr>
          <w:p>
            <w:r>
              <w:rPr>
                <w:rFonts w:ascii="Calibri" w:hAnsi="Calibri"/>
                <w:sz w:val="20"/>
              </w:rPr>
              <w:t>String</w:t>
            </w:r>
          </w:p>
        </w:tc>
        <w:tc>
          <w:tcPr>
            <w:tcW w:type="dxa" w:w="2351"/>
          </w:tcPr>
          <w:p>
            <w:r>
              <w:rPr>
                <w:rFonts w:ascii="Calibri" w:hAnsi="Calibri"/>
                <w:sz w:val="20"/>
              </w:rPr>
              <w:t>(empty)</w:t>
            </w:r>
          </w:p>
        </w:tc>
        <w:tc>
          <w:tcPr>
            <w:tcW w:type="dxa" w:w="2351"/>
          </w:tcPr>
          <w:p>
            <w:r>
              <w:rPr>
                <w:rFonts w:ascii="Calibri" w:hAnsi="Calibri"/>
                <w:sz w:val="20"/>
              </w:rPr>
              <w:t>SMTP password or app password</w:t>
            </w:r>
          </w:p>
        </w:tc>
      </w:tr>
    </w:tbl>
    <w:p/>
    <w:p>
      <w:r>
        <w:rPr>
          <w:b/>
        </w:rPr>
        <w:t>Common SMTP providers:</w:t>
      </w:r>
    </w:p>
    <w:tbl>
      <w:tblPr>
        <w:tblStyle w:val="TableGrid"/>
        <w:tblW w:type="auto" w:w="0"/>
        <w:tblLook w:firstColumn="1" w:firstRow="1" w:lastColumn="0" w:lastRow="0" w:noHBand="0" w:noVBand="1" w:val="04A0"/>
      </w:tblPr>
      <w:tblGrid>
        <w:gridCol w:w="3135"/>
        <w:gridCol w:w="3135"/>
        <w:gridCol w:w="3135"/>
      </w:tblGrid>
      <w:tr>
        <w:tc>
          <w:tcPr>
            <w:tcW w:type="dxa" w:w="3135"/>
            <w:shd w:fill="1976D2" w:val="clear"/>
          </w:tcPr>
          <w:p>
            <w:r>
              <w:rPr>
                <w:rFonts w:ascii="Calibri" w:hAnsi="Calibri"/>
                <w:b/>
                <w:color w:val="FFFFFF"/>
                <w:sz w:val="20"/>
              </w:rPr>
              <w:t>Provider</w:t>
            </w:r>
          </w:p>
        </w:tc>
        <w:tc>
          <w:tcPr>
            <w:tcW w:type="dxa" w:w="3135"/>
            <w:shd w:fill="1976D2" w:val="clear"/>
          </w:tcPr>
          <w:p>
            <w:r>
              <w:rPr>
                <w:rFonts w:ascii="Calibri" w:hAnsi="Calibri"/>
                <w:b/>
                <w:color w:val="FFFFFF"/>
                <w:sz w:val="20"/>
              </w:rPr>
              <w:t>Host</w:t>
            </w:r>
          </w:p>
        </w:tc>
        <w:tc>
          <w:tcPr>
            <w:tcW w:type="dxa" w:w="3135"/>
            <w:shd w:fill="1976D2" w:val="clear"/>
          </w:tcPr>
          <w:p>
            <w:r>
              <w:rPr>
                <w:rFonts w:ascii="Calibri" w:hAnsi="Calibri"/>
                <w:b/>
                <w:color w:val="FFFFFF"/>
                <w:sz w:val="20"/>
              </w:rPr>
              <w:t>Port</w:t>
            </w:r>
          </w:p>
        </w:tc>
      </w:tr>
      <w:tr>
        <w:tc>
          <w:tcPr>
            <w:tcW w:type="dxa" w:w="3135"/>
          </w:tcPr>
          <w:p>
            <w:r>
              <w:rPr>
                <w:rFonts w:ascii="Calibri" w:hAnsi="Calibri"/>
                <w:sz w:val="20"/>
              </w:rPr>
              <w:t>Gmail</w:t>
            </w:r>
          </w:p>
        </w:tc>
        <w:tc>
          <w:tcPr>
            <w:tcW w:type="dxa" w:w="3135"/>
          </w:tcPr>
          <w:p>
            <w:r>
              <w:rPr>
                <w:rFonts w:ascii="Calibri" w:hAnsi="Calibri"/>
                <w:sz w:val="20"/>
              </w:rPr>
              <w:t>smtp.gmail.com</w:t>
            </w:r>
          </w:p>
        </w:tc>
        <w:tc>
          <w:tcPr>
            <w:tcW w:type="dxa" w:w="3135"/>
          </w:tcPr>
          <w:p>
            <w:r>
              <w:rPr>
                <w:rFonts w:ascii="Calibri" w:hAnsi="Calibri"/>
                <w:sz w:val="20"/>
              </w:rPr>
              <w:t>587</w:t>
            </w:r>
          </w:p>
        </w:tc>
      </w:tr>
      <w:tr>
        <w:tc>
          <w:tcPr>
            <w:tcW w:type="dxa" w:w="3135"/>
          </w:tcPr>
          <w:p>
            <w:r>
              <w:rPr>
                <w:rFonts w:ascii="Calibri" w:hAnsi="Calibri"/>
                <w:sz w:val="20"/>
              </w:rPr>
              <w:t>Outlook/Office 365</w:t>
            </w:r>
          </w:p>
        </w:tc>
        <w:tc>
          <w:tcPr>
            <w:tcW w:type="dxa" w:w="3135"/>
          </w:tcPr>
          <w:p>
            <w:r>
              <w:rPr>
                <w:rFonts w:ascii="Calibri" w:hAnsi="Calibri"/>
                <w:sz w:val="20"/>
              </w:rPr>
              <w:t>smtp.office365.com</w:t>
            </w:r>
          </w:p>
        </w:tc>
        <w:tc>
          <w:tcPr>
            <w:tcW w:type="dxa" w:w="3135"/>
          </w:tcPr>
          <w:p>
            <w:r>
              <w:rPr>
                <w:rFonts w:ascii="Calibri" w:hAnsi="Calibri"/>
                <w:sz w:val="20"/>
              </w:rPr>
              <w:t>587</w:t>
            </w:r>
          </w:p>
        </w:tc>
      </w:tr>
      <w:tr>
        <w:tc>
          <w:tcPr>
            <w:tcW w:type="dxa" w:w="3135"/>
          </w:tcPr>
          <w:p>
            <w:r>
              <w:rPr>
                <w:rFonts w:ascii="Calibri" w:hAnsi="Calibri"/>
                <w:sz w:val="20"/>
              </w:rPr>
              <w:t>Yahoo</w:t>
            </w:r>
          </w:p>
        </w:tc>
        <w:tc>
          <w:tcPr>
            <w:tcW w:type="dxa" w:w="3135"/>
          </w:tcPr>
          <w:p>
            <w:r>
              <w:rPr>
                <w:rFonts w:ascii="Calibri" w:hAnsi="Calibri"/>
                <w:sz w:val="20"/>
              </w:rPr>
              <w:t>smtp.mail.yahoo.com</w:t>
            </w:r>
          </w:p>
        </w:tc>
        <w:tc>
          <w:tcPr>
            <w:tcW w:type="dxa" w:w="3135"/>
          </w:tcPr>
          <w:p>
            <w:r>
              <w:rPr>
                <w:rFonts w:ascii="Calibri" w:hAnsi="Calibri"/>
                <w:sz w:val="20"/>
              </w:rPr>
              <w:t>587</w:t>
            </w:r>
          </w:p>
        </w:tc>
      </w:tr>
      <w:tr>
        <w:tc>
          <w:tcPr>
            <w:tcW w:type="dxa" w:w="3135"/>
          </w:tcPr>
          <w:p>
            <w:r>
              <w:rPr>
                <w:rFonts w:ascii="Calibri" w:hAnsi="Calibri"/>
                <w:sz w:val="20"/>
              </w:rPr>
              <w:t>Amazon SES</w:t>
            </w:r>
          </w:p>
        </w:tc>
        <w:tc>
          <w:tcPr>
            <w:tcW w:type="dxa" w:w="3135"/>
          </w:tcPr>
          <w:p>
            <w:r>
              <w:rPr>
                <w:rFonts w:ascii="Calibri" w:hAnsi="Calibri"/>
                <w:sz w:val="20"/>
              </w:rPr>
              <w:t>email-smtp.&lt;region&gt;.amazonaws.com</w:t>
            </w:r>
          </w:p>
        </w:tc>
        <w:tc>
          <w:tcPr>
            <w:tcW w:type="dxa" w:w="3135"/>
          </w:tcPr>
          <w:p>
            <w:r>
              <w:rPr>
                <w:rFonts w:ascii="Calibri" w:hAnsi="Calibri"/>
                <w:sz w:val="20"/>
              </w:rPr>
              <w:t>587</w:t>
            </w:r>
          </w:p>
        </w:tc>
      </w:tr>
    </w:tbl>
    <w:p>
      <w:pPr>
        <w:pStyle w:val="Heading2"/>
      </w:pPr>
      <w:r>
        <w:t>4.4 Application Configuration</w:t>
      </w:r>
    </w:p>
    <w:p>
      <w:pPr>
        <w:spacing w:before="120" w:after="120"/>
        <w:shd w:fill="F5F5F5" w:val="clear"/>
      </w:pPr>
      <w:r>
        <w:rPr>
          <w:rFonts w:ascii="Consolas" w:hAnsi="Consolas"/>
          <w:color w:val="1A1A2E"/>
          <w:sz w:val="18"/>
        </w:rPr>
        <w:t>{</w:t>
        <w:br/>
        <w:t xml:space="preserve">  "app": {</w:t>
        <w:br/>
        <w:t xml:space="preserve">    "baseUrl": "http://your-server:9500",</w:t>
        <w:br/>
        <w:t xml:space="preserve">    "jwtSecret": "YourSecretKeyAtLeast256Bits",</w:t>
        <w:br/>
        <w:t xml:space="preserve">    "encryptionKey": "YourAESKey16Char",</w:t>
        <w:br/>
        <w:t xml:space="preserve">    "storagePath": "C:/Sonar Docs/"</w:t>
        <w:br/>
        <w:t xml:space="preserve">  }</w:t>
        <w:b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976D2" w:val="clear"/>
          </w:tcPr>
          <w:p>
            <w:r>
              <w:rPr>
                <w:rFonts w:ascii="Calibri" w:hAnsi="Calibri"/>
                <w:b/>
                <w:color w:val="FFFFFF"/>
                <w:sz w:val="20"/>
              </w:rPr>
              <w:t>Property</w:t>
            </w:r>
          </w:p>
        </w:tc>
        <w:tc>
          <w:tcPr>
            <w:tcW w:type="dxa" w:w="2351"/>
            <w:shd w:fill="1976D2" w:val="clear"/>
          </w:tcPr>
          <w:p>
            <w:r>
              <w:rPr>
                <w:rFonts w:ascii="Calibri" w:hAnsi="Calibri"/>
                <w:b/>
                <w:color w:val="FFFFFF"/>
                <w:sz w:val="20"/>
              </w:rPr>
              <w:t>Type</w:t>
            </w:r>
          </w:p>
        </w:tc>
        <w:tc>
          <w:tcPr>
            <w:tcW w:type="dxa" w:w="2351"/>
            <w:shd w:fill="1976D2" w:val="clear"/>
          </w:tcPr>
          <w:p>
            <w:r>
              <w:rPr>
                <w:rFonts w:ascii="Calibri" w:hAnsi="Calibri"/>
                <w:b/>
                <w:color w:val="FFFFFF"/>
                <w:sz w:val="20"/>
              </w:rPr>
              <w:t>Default</w:t>
            </w:r>
          </w:p>
        </w:tc>
        <w:tc>
          <w:tcPr>
            <w:tcW w:type="dxa" w:w="2351"/>
            <w:shd w:fill="1976D2" w:val="clear"/>
          </w:tcPr>
          <w:p>
            <w:r>
              <w:rPr>
                <w:rFonts w:ascii="Calibri" w:hAnsi="Calibri"/>
                <w:b/>
                <w:color w:val="FFFFFF"/>
                <w:sz w:val="20"/>
              </w:rPr>
              <w:t>Description</w:t>
            </w:r>
          </w:p>
        </w:tc>
      </w:tr>
      <w:tr>
        <w:tc>
          <w:tcPr>
            <w:tcW w:type="dxa" w:w="2351"/>
          </w:tcPr>
          <w:p>
            <w:r>
              <w:rPr>
                <w:rFonts w:ascii="Calibri" w:hAnsi="Calibri"/>
                <w:sz w:val="20"/>
              </w:rPr>
              <w:t>baseUrl</w:t>
            </w:r>
          </w:p>
        </w:tc>
        <w:tc>
          <w:tcPr>
            <w:tcW w:type="dxa" w:w="2351"/>
          </w:tcPr>
          <w:p>
            <w:r>
              <w:rPr>
                <w:rFonts w:ascii="Calibri" w:hAnsi="Calibri"/>
                <w:sz w:val="20"/>
              </w:rPr>
              <w:t>String</w:t>
            </w:r>
          </w:p>
        </w:tc>
        <w:tc>
          <w:tcPr>
            <w:tcW w:type="dxa" w:w="2351"/>
          </w:tcPr>
          <w:p>
            <w:r>
              <w:rPr>
                <w:rFonts w:ascii="Calibri" w:hAnsi="Calibri"/>
                <w:sz w:val="20"/>
              </w:rPr>
              <w:t>(auto)</w:t>
            </w:r>
          </w:p>
        </w:tc>
        <w:tc>
          <w:tcPr>
            <w:tcW w:type="dxa" w:w="2351"/>
          </w:tcPr>
          <w:p>
            <w:r>
              <w:rPr>
                <w:rFonts w:ascii="Calibri" w:hAnsi="Calibri"/>
                <w:sz w:val="20"/>
              </w:rPr>
              <w:t>Public URL for email links</w:t>
            </w:r>
          </w:p>
        </w:tc>
      </w:tr>
      <w:tr>
        <w:tc>
          <w:tcPr>
            <w:tcW w:type="dxa" w:w="2351"/>
          </w:tcPr>
          <w:p>
            <w:r>
              <w:rPr>
                <w:rFonts w:ascii="Calibri" w:hAnsi="Calibri"/>
                <w:sz w:val="20"/>
              </w:rPr>
              <w:t>jwtSecret</w:t>
            </w:r>
          </w:p>
        </w:tc>
        <w:tc>
          <w:tcPr>
            <w:tcW w:type="dxa" w:w="2351"/>
          </w:tcPr>
          <w:p>
            <w:r>
              <w:rPr>
                <w:rFonts w:ascii="Calibri" w:hAnsi="Calibri"/>
                <w:sz w:val="20"/>
              </w:rPr>
              <w:t>String</w:t>
            </w:r>
          </w:p>
        </w:tc>
        <w:tc>
          <w:tcPr>
            <w:tcW w:type="dxa" w:w="2351"/>
          </w:tcPr>
          <w:p>
            <w:r>
              <w:rPr>
                <w:rFonts w:ascii="Calibri" w:hAnsi="Calibri"/>
                <w:sz w:val="20"/>
              </w:rPr>
              <w:t>(built-in)</w:t>
            </w:r>
          </w:p>
        </w:tc>
        <w:tc>
          <w:tcPr>
            <w:tcW w:type="dxa" w:w="2351"/>
          </w:tcPr>
          <w:p>
            <w:r>
              <w:rPr>
                <w:rFonts w:ascii="Calibri" w:hAnsi="Calibri"/>
                <w:sz w:val="20"/>
              </w:rPr>
              <w:t>JWT token signing key (min 256 bits)</w:t>
            </w:r>
          </w:p>
        </w:tc>
      </w:tr>
      <w:tr>
        <w:tc>
          <w:tcPr>
            <w:tcW w:type="dxa" w:w="2351"/>
          </w:tcPr>
          <w:p>
            <w:r>
              <w:rPr>
                <w:rFonts w:ascii="Calibri" w:hAnsi="Calibri"/>
                <w:sz w:val="20"/>
              </w:rPr>
              <w:t>encryptionKey</w:t>
            </w:r>
          </w:p>
        </w:tc>
        <w:tc>
          <w:tcPr>
            <w:tcW w:type="dxa" w:w="2351"/>
          </w:tcPr>
          <w:p>
            <w:r>
              <w:rPr>
                <w:rFonts w:ascii="Calibri" w:hAnsi="Calibri"/>
                <w:sz w:val="20"/>
              </w:rPr>
              <w:t>String</w:t>
            </w:r>
          </w:p>
        </w:tc>
        <w:tc>
          <w:tcPr>
            <w:tcW w:type="dxa" w:w="2351"/>
          </w:tcPr>
          <w:p>
            <w:r>
              <w:rPr>
                <w:rFonts w:ascii="Calibri" w:hAnsi="Calibri"/>
                <w:sz w:val="20"/>
              </w:rPr>
              <w:t>(built-in)</w:t>
            </w:r>
          </w:p>
        </w:tc>
        <w:tc>
          <w:tcPr>
            <w:tcW w:type="dxa" w:w="2351"/>
          </w:tcPr>
          <w:p>
            <w:r>
              <w:rPr>
                <w:rFonts w:ascii="Calibri" w:hAnsi="Calibri"/>
                <w:sz w:val="20"/>
              </w:rPr>
              <w:t>AES encryption key (16 characters)</w:t>
            </w:r>
          </w:p>
        </w:tc>
      </w:tr>
      <w:tr>
        <w:tc>
          <w:tcPr>
            <w:tcW w:type="dxa" w:w="2351"/>
          </w:tcPr>
          <w:p>
            <w:r>
              <w:rPr>
                <w:rFonts w:ascii="Calibri" w:hAnsi="Calibri"/>
                <w:sz w:val="20"/>
              </w:rPr>
              <w:t>storagePath</w:t>
            </w:r>
          </w:p>
        </w:tc>
        <w:tc>
          <w:tcPr>
            <w:tcW w:type="dxa" w:w="2351"/>
          </w:tcPr>
          <w:p>
            <w:r>
              <w:rPr>
                <w:rFonts w:ascii="Calibri" w:hAnsi="Calibri"/>
                <w:sz w:val="20"/>
              </w:rPr>
              <w:t>String</w:t>
            </w:r>
          </w:p>
        </w:tc>
        <w:tc>
          <w:tcPr>
            <w:tcW w:type="dxa" w:w="2351"/>
          </w:tcPr>
          <w:p>
            <w:r>
              <w:rPr>
                <w:rFonts w:ascii="Calibri" w:hAnsi="Calibri"/>
                <w:sz w:val="20"/>
              </w:rPr>
              <w:t>C:/Sonar Docs/</w:t>
            </w:r>
          </w:p>
        </w:tc>
        <w:tc>
          <w:tcPr>
            <w:tcW w:type="dxa" w:w="2351"/>
          </w:tcPr>
          <w:p>
            <w:r>
              <w:rPr>
                <w:rFonts w:ascii="Calibri" w:hAnsi="Calibri"/>
                <w:sz w:val="20"/>
              </w:rPr>
              <w:t>Base path for file storage</w:t>
            </w:r>
          </w:p>
        </w:tc>
      </w:tr>
    </w:tbl>
    <w:p/>
    <w:p>
      <w:r>
        <w:rPr>
          <w:b/>
        </w:rPr>
        <w:t xml:space="preserve">Auto-created subfolders: </w:t>
      </w:r>
      <w:r>
        <w:t>attachments/, templates/, imports/, exports/, backups/</w:t>
      </w:r>
    </w:p>
    <w:p>
      <w:r>
        <w:br w:type="page"/>
      </w:r>
    </w:p>
    <w:p>
      <w:pPr>
        <w:pStyle w:val="Heading1"/>
      </w:pPr>
      <w:r>
        <w:t>5. Complete Example</w:t>
      </w:r>
    </w:p>
    <w:p>
      <w:r>
        <w:t>A complete config.sona file with all sections:</w:t>
      </w:r>
    </w:p>
    <w:p>
      <w:pPr>
        <w:spacing w:before="120" w:after="120"/>
        <w:shd w:fill="F5F5F5" w:val="clear"/>
      </w:pPr>
      <w:r>
        <w:rPr>
          <w:rFonts w:ascii="Consolas" w:hAnsi="Consolas"/>
          <w:color w:val="1A1A2E"/>
          <w:sz w:val="18"/>
        </w:rPr>
        <w:t>{</w:t>
        <w:br/>
        <w:t xml:space="preserve">  "database": {</w:t>
        <w:br/>
        <w:t xml:space="preserve">    "host": "192.168.1.100",</w:t>
        <w:br/>
        <w:t xml:space="preserve">    "port": 5432,</w:t>
        <w:br/>
        <w:t xml:space="preserve">    "name": "sona_production",</w:t>
        <w:br/>
        <w:t xml:space="preserve">    "username": "sona_app",</w:t>
        <w:br/>
        <w:t xml:space="preserve">    "password": "Str0ng!Pr0duct10n#Pass"</w:t>
        <w:br/>
        <w:t xml:space="preserve">  },</w:t>
        <w:br/>
        <w:t xml:space="preserve">  "server": {</w:t>
        <w:br/>
        <w:t xml:space="preserve">    "port": 8080</w:t>
        <w:br/>
        <w:t xml:space="preserve">  },</w:t>
        <w:br/>
        <w:t xml:space="preserve">  "mail": {</w:t>
        <w:br/>
        <w:t xml:space="preserve">    "host": "smtp.office365.com",</w:t>
        <w:br/>
        <w:t xml:space="preserve">    "port": 587,</w:t>
        <w:br/>
        <w:t xml:space="preserve">    "username": "workflow@company.com",</w:t>
        <w:br/>
        <w:t xml:space="preserve">    "password": "email-app-password"</w:t>
        <w:br/>
        <w:t xml:space="preserve">  },</w:t>
        <w:br/>
        <w:t xml:space="preserve">  "app": {</w:t>
        <w:br/>
        <w:t xml:space="preserve">    "baseUrl": "https://workflow.company.com",</w:t>
        <w:br/>
        <w:t xml:space="preserve">    "jwtSecret": "MyCompanySecureJWTKey2026ForProduction!",</w:t>
        <w:br/>
        <w:t xml:space="preserve">    "encryptionKey": "MyAESKey2026Prod",</w:t>
        <w:br/>
        <w:t xml:space="preserve">    "storagePath": "D:/SonaData/"</w:t>
        <w:br/>
        <w:t xml:space="preserve">  }</w:t>
        <w:br/>
        <w:t>}</w:t>
      </w:r>
    </w:p>
    <w:p>
      <w:pPr>
        <w:pStyle w:val="Heading1"/>
      </w:pPr>
      <w:r>
        <w:t>6. Common Scenarios</w:t>
      </w:r>
    </w:p>
    <w:p>
      <w:pPr>
        <w:pStyle w:val="Heading2"/>
      </w:pPr>
      <w:r>
        <w:t>6.1 Remote Database</w:t>
      </w:r>
    </w:p>
    <w:p>
      <w:pPr>
        <w:spacing w:before="120" w:after="120"/>
        <w:shd w:fill="F5F5F5" w:val="clear"/>
      </w:pPr>
      <w:r>
        <w:rPr>
          <w:rFonts w:ascii="Consolas" w:hAnsi="Consolas"/>
          <w:color w:val="1A1A2E"/>
          <w:sz w:val="18"/>
        </w:rPr>
        <w:t>{</w:t>
        <w:br/>
        <w:t xml:space="preserve">  "database": {</w:t>
        <w:br/>
        <w:t xml:space="preserve">    "host": "db-server.company.com",</w:t>
        <w:br/>
        <w:t xml:space="preserve">    "port": 5432,</w:t>
        <w:br/>
        <w:t xml:space="preserve">    "name": "sona_workflow",</w:t>
        <w:br/>
        <w:t xml:space="preserve">    "username": "sona_user",</w:t>
        <w:br/>
        <w:t xml:space="preserve">    "password": "SecureDbPassword!"</w:t>
        <w:br/>
        <w:t xml:space="preserve">  }</w:t>
        <w:br/>
        <w:t>}</w:t>
      </w:r>
    </w:p>
    <w:p>
      <w:pPr>
        <w:pStyle w:val="Heading2"/>
      </w:pPr>
      <w:r>
        <w:t>6.2 Change Port</w:t>
      </w:r>
    </w:p>
    <w:p>
      <w:pPr>
        <w:spacing w:before="120" w:after="120"/>
        <w:shd w:fill="F5F5F5" w:val="clear"/>
      </w:pPr>
      <w:r>
        <w:rPr>
          <w:rFonts w:ascii="Consolas" w:hAnsi="Consolas"/>
          <w:color w:val="1A1A2E"/>
          <w:sz w:val="18"/>
        </w:rPr>
        <w:t>{</w:t>
        <w:br/>
        <w:t xml:space="preserve">  "server": {</w:t>
        <w:br/>
        <w:t xml:space="preserve">    "port": 8080</w:t>
        <w:br/>
        <w:t xml:space="preserve">  }</w:t>
        <w:br/>
        <w:t>}</w:t>
      </w:r>
    </w:p>
    <w:p>
      <w:pPr>
        <w:pStyle w:val="Heading2"/>
      </w:pPr>
      <w:r>
        <w:t>6.3 Email Setup</w:t>
      </w:r>
    </w:p>
    <w:p>
      <w:pPr>
        <w:spacing w:before="120" w:after="120"/>
        <w:shd w:fill="F5F5F5" w:val="clear"/>
      </w:pPr>
      <w:r>
        <w:rPr>
          <w:rFonts w:ascii="Consolas" w:hAnsi="Consolas"/>
          <w:color w:val="1A1A2E"/>
          <w:sz w:val="18"/>
        </w:rPr>
        <w:t>{</w:t>
        <w:br/>
        <w:t xml:space="preserve">  "mail": {</w:t>
        <w:br/>
        <w:t xml:space="preserve">    "host": "smtp.gmail.com",</w:t>
        <w:br/>
        <w:t xml:space="preserve">    "port": 587,</w:t>
        <w:br/>
        <w:t xml:space="preserve">    "username": "sona.notifications@gmail.com",</w:t>
        <w:br/>
        <w:t xml:space="preserve">    "password": "abcd efgh ijkl mnop"</w:t>
        <w:br/>
        <w:t xml:space="preserve">  },</w:t>
        <w:br/>
        <w:t xml:space="preserve">  "app": {</w:t>
        <w:br/>
        <w:t xml:space="preserve">    "baseUrl": "http://192.168.1.50:9500"</w:t>
        <w:br/>
        <w:t xml:space="preserve">  }</w:t>
        <w:br/>
        <w:t>}</w:t>
      </w:r>
    </w:p>
    <w:p>
      <w:r>
        <w:t>The baseUrl is required for email links (approval buttons, view submission) to work correctly.</w:t>
      </w:r>
    </w:p>
    <w:p>
      <w:pPr>
        <w:pStyle w:val="Heading2"/>
      </w:pPr>
      <w:r>
        <w:t>6.4 Production Deployment</w:t>
      </w:r>
    </w:p>
    <w:p>
      <w:pPr>
        <w:spacing w:before="120" w:after="120"/>
        <w:shd w:fill="F5F5F5" w:val="clear"/>
      </w:pPr>
      <w:r>
        <w:rPr>
          <w:rFonts w:ascii="Consolas" w:hAnsi="Consolas"/>
          <w:color w:val="1A1A2E"/>
          <w:sz w:val="18"/>
        </w:rPr>
        <w:t>{</w:t>
        <w:br/>
        <w:t xml:space="preserve">  "database": {</w:t>
        <w:br/>
        <w:t xml:space="preserve">    "host": "prod-db.internal",</w:t>
        <w:br/>
        <w:t xml:space="preserve">    "name": "sona_prod",</w:t>
        <w:br/>
        <w:t xml:space="preserve">    "username": "sona_prod_user",</w:t>
        <w:br/>
        <w:t xml:space="preserve">    "password": "V3ryStr0ng!Pr0d#2026"</w:t>
        <w:br/>
        <w:t xml:space="preserve">  },</w:t>
        <w:br/>
        <w:t xml:space="preserve">  "app": {</w:t>
        <w:br/>
        <w:t xml:space="preserve">    "baseUrl": "https://workflow.yourcompany.com",</w:t>
        <w:br/>
        <w:t xml:space="preserve">    "jwtSecret": "UniqueProductionJWTSecretAtLeast32Chars!!",</w:t>
        <w:br/>
        <w:t xml:space="preserve">    "encryptionKey": "ProdAES128Key!!!"</w:t>
        <w:br/>
        <w:t xml:space="preserve">  }</w:t>
        <w:br/>
        <w:t>}</w:t>
      </w:r>
    </w:p>
    <w:p>
      <w:pPr>
        <w:pStyle w:val="Heading2"/>
      </w:pPr>
      <w:r>
        <w:t>6.5 Minimal Config</w:t>
      </w:r>
    </w:p>
    <w:p>
      <w:r>
        <w:t>Only override what you need:</w:t>
      </w:r>
    </w:p>
    <w:p>
      <w:pPr>
        <w:spacing w:before="120" w:after="120"/>
        <w:shd w:fill="F5F5F5" w:val="clear"/>
      </w:pPr>
      <w:r>
        <w:rPr>
          <w:rFonts w:ascii="Consolas" w:hAnsi="Consolas"/>
          <w:color w:val="1A1A2E"/>
          <w:sz w:val="18"/>
        </w:rPr>
        <w:t>{</w:t>
        <w:br/>
        <w:t xml:space="preserve">  "database": {</w:t>
        <w:br/>
        <w:t xml:space="preserve">    "host": "10.0.0.5",</w:t>
        <w:br/>
        <w:t xml:space="preserve">    "name": "my_workflow_db",</w:t>
        <w:br/>
        <w:t xml:space="preserve">    "username": "admin",</w:t>
        <w:br/>
        <w:t xml:space="preserve">    "password": "admin123"</w:t>
        <w:br/>
        <w:t xml:space="preserve">  }</w:t>
        <w:br/>
        <w:t>}</w:t>
      </w:r>
    </w:p>
    <w:p>
      <w:pPr>
        <w:pStyle w:val="Heading1"/>
      </w:pPr>
      <w:r>
        <w:t>7. Startup Verification</w:t>
      </w:r>
    </w:p>
    <w:p>
      <w:r>
        <w:t>Check the console output on startup:</w:t>
      </w:r>
    </w:p>
    <w:p>
      <w:r>
        <w:rPr>
          <w:b/>
          <w:color w:val="2E7D32"/>
        </w:rPr>
        <w:t>Successful load:</w:t>
      </w:r>
    </w:p>
    <w:p>
      <w:pPr>
        <w:spacing w:before="120" w:after="120"/>
        <w:shd w:fill="F5F5F5" w:val="clear"/>
      </w:pPr>
      <w:r>
        <w:rPr>
          <w:rFonts w:ascii="Consolas" w:hAnsi="Consolas"/>
          <w:color w:val="1A1A2E"/>
          <w:sz w:val="18"/>
        </w:rPr>
        <w:t>[Sona Config] Loading configuration from: C:\Sona\config.sona</w:t>
        <w:br/>
        <w:t>[Sona Config] Database: postgresql://192.168.1.100:5432/sona_production (user: sona_app)</w:t>
        <w:br/>
        <w:t>[Sona Config] Server port: 8080</w:t>
        <w:br/>
        <w:t>[Sona Config] Applied 14 configuration properties.</w:t>
      </w:r>
    </w:p>
    <w:p>
      <w:r>
        <w:rPr>
          <w:b/>
          <w:color w:val="FF9800"/>
        </w:rPr>
        <w:t>File not found:</w:t>
      </w:r>
    </w:p>
    <w:p>
      <w:pPr>
        <w:spacing w:before="120" w:after="120"/>
        <w:shd w:fill="F5F5F5" w:val="clear"/>
      </w:pPr>
      <w:r>
        <w:rPr>
          <w:rFonts w:ascii="Consolas" w:hAnsi="Consolas"/>
          <w:color w:val="1A1A2E"/>
          <w:sz w:val="18"/>
        </w:rPr>
        <w:t>[Sona Config] No config.sona file found. Using default application.yml settings.</w:t>
      </w:r>
    </w:p>
    <w:p>
      <w:r>
        <w:rPr>
          <w:b/>
          <w:color w:val="C62828"/>
        </w:rPr>
        <w:t>Parse error:</w:t>
      </w:r>
    </w:p>
    <w:p>
      <w:pPr>
        <w:spacing w:before="120" w:after="120"/>
        <w:shd w:fill="F5F5F5" w:val="clear"/>
      </w:pPr>
      <w:r>
        <w:rPr>
          <w:rFonts w:ascii="Consolas" w:hAnsi="Consolas"/>
          <w:color w:val="1A1A2E"/>
          <w:sz w:val="18"/>
        </w:rPr>
        <w:t>[Sona Config] ERROR: Failed to parse config.sona: Unexpected character...</w:t>
        <w:br/>
        <w:t>[Sona Config] Falling back to default application.yml settings.</w:t>
      </w:r>
    </w:p>
    <w:p>
      <w:pPr>
        <w:pStyle w:val="Heading1"/>
      </w:pPr>
      <w:r>
        <w:t>8. Troubleshooting</w:t>
      </w:r>
    </w:p>
    <w:p>
      <w:r>
        <w:rPr>
          <w:b/>
        </w:rPr>
        <w:t>Application won't start after editing config.sona</w:t>
      </w:r>
    </w:p>
    <w:p>
      <w:r>
        <w:t>Validate JSON at jsonlint.com. Common: missing commas, trailing commas, single quotes instead of double.</w:t>
      </w:r>
    </w:p>
    <w:p>
      <w:r>
        <w:rPr>
          <w:b/>
        </w:rPr>
        <w:t>Database connection refused</w:t>
      </w:r>
    </w:p>
    <w:p>
      <w:r>
        <w:t>Verify host is reachable, port correct, PostgreSQL running, database exists. Check firewall.</w:t>
      </w:r>
    </w:p>
    <w:p>
      <w:r>
        <w:rPr>
          <w:b/>
        </w:rPr>
        <w:t>Emails not sending</w:t>
      </w:r>
    </w:p>
    <w:p>
      <w:r>
        <w:t>Verify SMTP credentials. For Gmail use App Password. Check host and port.</w:t>
      </w:r>
    </w:p>
    <w:p>
      <w:r>
        <w:rPr>
          <w:b/>
        </w:rPr>
        <w:t>config.sona is ignored</w:t>
      </w:r>
    </w:p>
    <w:p>
      <w:r>
        <w:t>Ensure file is in a search location (Section 2). Name must be exactly "config.sona".</w:t>
      </w:r>
    </w:p>
    <w:p>
      <w:r>
        <w:rPr>
          <w:b/>
        </w:rPr>
        <w:t>Special characters in password</w:t>
      </w:r>
    </w:p>
    <w:p>
      <w:r>
        <w:t>Escape backslash as \\ and double quote as \" in JSON strings.</w:t>
      </w:r>
    </w:p>
    <w:p>
      <w:r>
        <w:rPr>
          <w:b/>
        </w:rPr>
        <w:t>Storage path not working</w:t>
      </w:r>
    </w:p>
    <w:p>
      <w:r>
        <w:t>Use forward slashes: "C:/Sonar Docs/" not "C:\\Sonar Docs\\". Ensure write permissions.</w:t>
      </w:r>
    </w:p>
    <w:p>
      <w:pPr>
        <w:pStyle w:val="Heading1"/>
      </w:pPr>
      <w:r>
        <w:t>9. Security Considerations</w:t>
      </w:r>
    </w:p>
    <w:p>
      <w:pPr>
        <w:pStyle w:val="ListBullet"/>
      </w:pPr>
      <w:r>
        <w:t>Restrict file permissions to app service account and admins only</w:t>
      </w:r>
    </w:p>
    <w:p>
      <w:pPr>
        <w:pStyle w:val="ListBullet"/>
      </w:pPr>
      <w:r>
        <w:t>Never commit config.sona to version control</w:t>
      </w:r>
    </w:p>
    <w:p>
      <w:pPr>
        <w:pStyle w:val="ListBullet"/>
      </w:pPr>
      <w:r>
        <w:t>Use strong, unique passwords for database and JWT in production</w:t>
      </w:r>
    </w:p>
    <w:p>
      <w:pPr>
        <w:pStyle w:val="ListBullet"/>
      </w:pPr>
      <w:r>
        <w:t>encryptionKey must be exactly 16 characters for AES-128</w:t>
      </w:r>
    </w:p>
    <w:p>
      <w:pPr>
        <w:pStyle w:val="ListBullet"/>
      </w:pPr>
      <w:r>
        <w:t>Change default JWT secret in production</w:t>
      </w:r>
    </w:p>
    <w:p>
      <w:pPr>
        <w:pStyle w:val="ListBullet"/>
      </w:pPr>
      <w:r>
        <w:t>Environment variables override config.sona for most sensitive values</w:t>
      </w:r>
    </w:p>
    <w:p>
      <w:pPr>
        <w:pStyle w:val="ListBullet"/>
      </w:pPr>
      <w:r>
        <w:t>Rotate passwords periodically and update config.sona</w:t>
      </w:r>
    </w:p>
    <w:p>
      <w:pPr>
        <w:pStyle w:val="ListBullet"/>
      </w:pPr>
      <w:r>
        <w:t>Back up config.sona separately from the application</w:t>
      </w:r>
    </w:p>
    <w:p/>
    <w:p>
      <w:pPr>
        <w:jc w:val="center"/>
      </w:pPr>
      <w:r>
        <w:rPr>
          <w:color w:val="999999"/>
          <w:sz w:val="18"/>
        </w:rPr>
        <w:t>© 2026 Acad Arch Solutions Pvt. Ltd. All rights reserved.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