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Settings &amp; Configuration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Settings</w:t>
      </w:r>
    </w:p>
    <w:p>
      <w:r>
        <w:t>3. System Settings</w:t>
      </w:r>
    </w:p>
    <w:p>
      <w:r>
        <w:t>4. Email Configuration</w:t>
      </w:r>
    </w:p>
    <w:p>
      <w:r>
        <w:t>5. Workflow Settings</w:t>
      </w:r>
    </w:p>
    <w:p>
      <w:r>
        <w:t>6. Security Settings</w:t>
      </w:r>
    </w:p>
    <w:p>
      <w:r>
        <w:t>7. Notification Settings</w:t>
      </w:r>
    </w:p>
    <w:p>
      <w:r>
        <w:t>8. UI Customization</w:t>
      </w:r>
    </w:p>
    <w:p>
      <w:r>
        <w:t>9.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Settings &amp; Configuration module allows administrators to customize system behavior, configure email services, set security policies, and manage various application preferences.</w:t>
      </w:r>
    </w:p>
    <w:p>
      <w:r>
        <w:rPr>
          <w:b/>
          <w:i w:val="0"/>
        </w:rPr>
        <w:t>Configurable Areas:</w:t>
      </w:r>
    </w:p>
    <w:p>
      <w:pPr>
        <w:pStyle w:val="ListBullet"/>
      </w:pPr>
      <w:r>
        <w:t>System-wide settings</w:t>
      </w:r>
    </w:p>
    <w:p>
      <w:pPr>
        <w:pStyle w:val="ListBullet"/>
      </w:pPr>
      <w:r>
        <w:t>Email server configuration</w:t>
      </w:r>
    </w:p>
    <w:p>
      <w:pPr>
        <w:pStyle w:val="ListBullet"/>
      </w:pPr>
      <w:r>
        <w:t>Workflow behavior settings</w:t>
      </w:r>
    </w:p>
    <w:p>
      <w:pPr>
        <w:pStyle w:val="ListBullet"/>
      </w:pPr>
      <w:r>
        <w:t>Security and authentication settings</w:t>
      </w:r>
    </w:p>
    <w:p>
      <w:pPr>
        <w:pStyle w:val="ListBullet"/>
      </w:pPr>
      <w:r>
        <w:t>Notification preferences</w:t>
      </w:r>
    </w:p>
    <w:p>
      <w:pPr>
        <w:pStyle w:val="ListBullet"/>
      </w:pPr>
      <w:r>
        <w:t>User interface customization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Settings changes may affect all users. Review changes carefully before saving.</w:t>
      </w:r>
    </w:p>
    <w:p>
      <w:pPr>
        <w:jc w:val="center"/>
      </w:pPr>
      <w:r>
        <w:rPr>
          <w:i/>
          <w:color w:val="808080"/>
        </w:rPr>
        <w:t>[Screenshot: Settings Module Overview]</w:t>
      </w:r>
    </w:p>
    <w:p>
      <w:pPr>
        <w:jc w:val="center"/>
      </w:pPr>
      <w:r>
        <w:rPr>
          <w:i/>
          <w:sz w:val="20"/>
        </w:rPr>
        <w:t>Figure: Settings Module Overview</w:t>
      </w:r>
    </w:p>
    <w:p>
      <w:pPr>
        <w:pStyle w:val="Heading1"/>
      </w:pPr>
      <w:r>
        <w:t>2. Accessing Settings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with administrator credentials</w:t>
      </w:r>
    </w:p>
    <w:p>
      <w:r>
        <w:rPr>
          <w:b/>
          <w:color w:val="0066CC"/>
        </w:rPr>
        <w:t xml:space="preserve">Step 2: </w:t>
      </w:r>
      <w:r>
        <w:t>Click 'Administration' in the navigation sidebar</w:t>
      </w:r>
    </w:p>
    <w:p>
      <w:r>
        <w:rPr>
          <w:b/>
          <w:color w:val="0066CC"/>
        </w:rPr>
        <w:t xml:space="preserve">Step 3: </w:t>
      </w:r>
      <w:r>
        <w:t>Click 'Settings' from the sub-menu</w:t>
      </w:r>
    </w:p>
    <w:p>
      <w:r>
        <w:rPr>
          <w:b/>
          <w:color w:val="0066CC"/>
        </w:rPr>
        <w:t xml:space="preserve">Step 4: </w:t>
      </w:r>
      <w:r>
        <w:t>The Settings page displays with tabs or sections</w:t>
      </w:r>
    </w:p>
    <w:p>
      <w:pPr>
        <w:jc w:val="center"/>
      </w:pPr>
      <w:r>
        <w:rPr>
          <w:i/>
          <w:color w:val="808080"/>
        </w:rPr>
        <w:t>[Screenshot: Navigation to Settings]</w:t>
      </w:r>
    </w:p>
    <w:p>
      <w:pPr>
        <w:jc w:val="center"/>
      </w:pPr>
      <w:r>
        <w:rPr>
          <w:i/>
          <w:sz w:val="20"/>
        </w:rPr>
        <w:t>Figure: Navigation to Settings</w:t>
      </w:r>
    </w:p>
    <w:p>
      <w:pPr>
        <w:pStyle w:val="Heading1"/>
      </w:pPr>
      <w:r>
        <w:t>3. System Settings</w:t>
      </w:r>
    </w:p>
    <w:p>
      <w:pPr>
        <w:pStyle w:val="Heading2"/>
      </w:pPr>
      <w:r>
        <w:t>3.1 General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System Name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040"/>
          </w:tcPr>
          <w:p>
            <w:r>
              <w:t>Display name of the application</w:t>
            </w:r>
          </w:p>
        </w:tc>
      </w:tr>
      <w:tr>
        <w:tc>
          <w:tcPr>
            <w:tcW w:type="dxa" w:w="2880"/>
          </w:tcPr>
          <w:p>
            <w:r>
              <w:t>System Logo</w:t>
            </w:r>
          </w:p>
        </w:tc>
        <w:tc>
          <w:tcPr>
            <w:tcW w:type="dxa" w:w="1440"/>
          </w:tcPr>
          <w:p>
            <w:r>
              <w:t>File</w:t>
            </w:r>
          </w:p>
        </w:tc>
        <w:tc>
          <w:tcPr>
            <w:tcW w:type="dxa" w:w="5040"/>
          </w:tcPr>
          <w:p>
            <w:r>
              <w:t>Logo displayed in header</w:t>
            </w:r>
          </w:p>
        </w:tc>
      </w:tr>
      <w:tr>
        <w:tc>
          <w:tcPr>
            <w:tcW w:type="dxa" w:w="2880"/>
          </w:tcPr>
          <w:p>
            <w:r>
              <w:t>Time Zone</w:t>
            </w:r>
          </w:p>
        </w:tc>
        <w:tc>
          <w:tcPr>
            <w:tcW w:type="dxa" w:w="1440"/>
          </w:tcPr>
          <w:p>
            <w:r>
              <w:t>Select</w:t>
            </w:r>
          </w:p>
        </w:tc>
        <w:tc>
          <w:tcPr>
            <w:tcW w:type="dxa" w:w="5040"/>
          </w:tcPr>
          <w:p>
            <w:r>
              <w:t>Default system time zone</w:t>
            </w:r>
          </w:p>
        </w:tc>
      </w:tr>
      <w:tr>
        <w:tc>
          <w:tcPr>
            <w:tcW w:type="dxa" w:w="2880"/>
          </w:tcPr>
          <w:p>
            <w:r>
              <w:t>Date Format</w:t>
            </w:r>
          </w:p>
        </w:tc>
        <w:tc>
          <w:tcPr>
            <w:tcW w:type="dxa" w:w="1440"/>
          </w:tcPr>
          <w:p>
            <w:r>
              <w:t>Select</w:t>
            </w:r>
          </w:p>
        </w:tc>
        <w:tc>
          <w:tcPr>
            <w:tcW w:type="dxa" w:w="5040"/>
          </w:tcPr>
          <w:p>
            <w:r>
              <w:t>Format for displaying dates</w:t>
            </w:r>
          </w:p>
        </w:tc>
      </w:tr>
      <w:tr>
        <w:tc>
          <w:tcPr>
            <w:tcW w:type="dxa" w:w="2880"/>
          </w:tcPr>
          <w:p>
            <w:r>
              <w:t>Language</w:t>
            </w:r>
          </w:p>
        </w:tc>
        <w:tc>
          <w:tcPr>
            <w:tcW w:type="dxa" w:w="1440"/>
          </w:tcPr>
          <w:p>
            <w:r>
              <w:t>Select</w:t>
            </w:r>
          </w:p>
        </w:tc>
        <w:tc>
          <w:tcPr>
            <w:tcW w:type="dxa" w:w="5040"/>
          </w:tcPr>
          <w:p>
            <w:r>
              <w:t>Default system language</w:t>
            </w:r>
          </w:p>
        </w:tc>
      </w:tr>
      <w:tr>
        <w:tc>
          <w:tcPr>
            <w:tcW w:type="dxa" w:w="2880"/>
          </w:tcPr>
          <w:p>
            <w:r>
              <w:t>Currency</w:t>
            </w:r>
          </w:p>
        </w:tc>
        <w:tc>
          <w:tcPr>
            <w:tcW w:type="dxa" w:w="1440"/>
          </w:tcPr>
          <w:p>
            <w:r>
              <w:t>Select</w:t>
            </w:r>
          </w:p>
        </w:tc>
        <w:tc>
          <w:tcPr>
            <w:tcW w:type="dxa" w:w="5040"/>
          </w:tcPr>
          <w:p>
            <w:r>
              <w:t>Default currency for financial fields</w:t>
            </w:r>
          </w:p>
        </w:tc>
      </w:tr>
    </w:tbl>
    <w:p/>
    <w:p>
      <w:pPr>
        <w:pStyle w:val="Heading2"/>
      </w:pPr>
      <w:r>
        <w:t>3.2 Changing System Settings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the Settings page</w:t>
      </w:r>
    </w:p>
    <w:p>
      <w:r>
        <w:rPr>
          <w:b/>
          <w:color w:val="0066CC"/>
        </w:rPr>
        <w:t xml:space="preserve">Step 2: </w:t>
      </w:r>
      <w:r>
        <w:t>Locate the setting you want to change</w:t>
      </w:r>
    </w:p>
    <w:p>
      <w:r>
        <w:rPr>
          <w:b/>
          <w:color w:val="0066CC"/>
        </w:rPr>
        <w:t xml:space="preserve">Step 3: </w:t>
      </w:r>
      <w:r>
        <w:t>Enter the new value</w:t>
      </w:r>
    </w:p>
    <w:p>
      <w:r>
        <w:rPr>
          <w:b/>
          <w:color w:val="0066CC"/>
        </w:rPr>
        <w:t xml:space="preserve">Step 4: </w:t>
      </w:r>
      <w:r>
        <w:t>Click 'Save' or 'Apply' button</w:t>
      </w:r>
    </w:p>
    <w:p>
      <w:r>
        <w:rPr>
          <w:b/>
          <w:color w:val="0066CC"/>
        </w:rPr>
        <w:t xml:space="preserve">Step 5: </w:t>
      </w:r>
      <w:r>
        <w:t>Settings take effect immediately (some may require refresh)</w:t>
      </w:r>
    </w:p>
    <w:p>
      <w:pPr>
        <w:jc w:val="center"/>
      </w:pPr>
      <w:r>
        <w:rPr>
          <w:i/>
          <w:color w:val="808080"/>
        </w:rPr>
        <w:t>[Screenshot: System Settings Panel]</w:t>
      </w:r>
    </w:p>
    <w:p>
      <w:pPr>
        <w:jc w:val="center"/>
      </w:pPr>
      <w:r>
        <w:rPr>
          <w:i/>
          <w:sz w:val="20"/>
        </w:rPr>
        <w:t>Figure: System Settings Panel</w:t>
      </w:r>
    </w:p>
    <w:p>
      <w:pPr>
        <w:pStyle w:val="Heading2"/>
      </w:pPr>
      <w:r>
        <w:t>3.3 Session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Session Timeout</w:t>
            </w:r>
          </w:p>
        </w:tc>
        <w:tc>
          <w:tcPr>
            <w:tcW w:type="dxa" w:w="2160"/>
          </w:tcPr>
          <w:p>
            <w:r>
              <w:t>30 minutes</w:t>
            </w:r>
          </w:p>
        </w:tc>
        <w:tc>
          <w:tcPr>
            <w:tcW w:type="dxa" w:w="4320"/>
          </w:tcPr>
          <w:p>
            <w:r>
              <w:t>Idle time before automatic logout</w:t>
            </w:r>
          </w:p>
        </w:tc>
      </w:tr>
      <w:tr>
        <w:tc>
          <w:tcPr>
            <w:tcW w:type="dxa" w:w="2880"/>
          </w:tcPr>
          <w:p>
            <w:r>
              <w:t>Remember Me Duration</w:t>
            </w:r>
          </w:p>
        </w:tc>
        <w:tc>
          <w:tcPr>
            <w:tcW w:type="dxa" w:w="2160"/>
          </w:tcPr>
          <w:p>
            <w:r>
              <w:t>7 days</w:t>
            </w:r>
          </w:p>
        </w:tc>
        <w:tc>
          <w:tcPr>
            <w:tcW w:type="dxa" w:w="4320"/>
          </w:tcPr>
          <w:p>
            <w:r>
              <w:t>Extended session when 'Remember Me' checked</w:t>
            </w:r>
          </w:p>
        </w:tc>
      </w:tr>
      <w:tr>
        <w:tc>
          <w:tcPr>
            <w:tcW w:type="dxa" w:w="2880"/>
          </w:tcPr>
          <w:p>
            <w:r>
              <w:t>Concurrent Sessions</w:t>
            </w:r>
          </w:p>
        </w:tc>
        <w:tc>
          <w:tcPr>
            <w:tcW w:type="dxa" w:w="2160"/>
          </w:tcPr>
          <w:p>
            <w:r>
              <w:t>Allowed</w:t>
            </w:r>
          </w:p>
        </w:tc>
        <w:tc>
          <w:tcPr>
            <w:tcW w:type="dxa" w:w="4320"/>
          </w:tcPr>
          <w:p>
            <w:r>
              <w:t>Whether user can have multiple active sessions</w:t>
            </w:r>
          </w:p>
        </w:tc>
      </w:tr>
    </w:tbl>
    <w:p/>
    <w:p>
      <w:pPr>
        <w:pStyle w:val="Heading1"/>
      </w:pPr>
      <w:r>
        <w:t>4. Email Configuration</w:t>
      </w:r>
    </w:p>
    <w:p>
      <w:r>
        <w:rPr>
          <w:b w:val="0"/>
          <w:i w:val="0"/>
        </w:rPr>
        <w:t>Email configuration is essential for system notifications, approval alerts, and password reset functionality.</w:t>
      </w:r>
    </w:p>
    <w:p>
      <w:pPr>
        <w:pStyle w:val="Heading2"/>
      </w:pPr>
      <w:r>
        <w:t>4.1 SMTP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1152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3168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SMTP Host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Mail server hostname</w:t>
            </w:r>
          </w:p>
        </w:tc>
        <w:tc>
          <w:tcPr>
            <w:tcW w:type="dxa" w:w="2880"/>
          </w:tcPr>
          <w:p>
            <w:r>
              <w:t>smtp.company.com</w:t>
            </w:r>
          </w:p>
        </w:tc>
      </w:tr>
      <w:tr>
        <w:tc>
          <w:tcPr>
            <w:tcW w:type="dxa" w:w="2160"/>
          </w:tcPr>
          <w:p>
            <w:r>
              <w:t>SMTP Port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Mail server port</w:t>
            </w:r>
          </w:p>
        </w:tc>
        <w:tc>
          <w:tcPr>
            <w:tcW w:type="dxa" w:w="2880"/>
          </w:tcPr>
          <w:p>
            <w:r>
              <w:t>587</w:t>
            </w:r>
          </w:p>
        </w:tc>
      </w:tr>
      <w:tr>
        <w:tc>
          <w:tcPr>
            <w:tcW w:type="dxa" w:w="2160"/>
          </w:tcPr>
          <w:p>
            <w:r>
              <w:t>Protocol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Mail protocol</w:t>
            </w:r>
          </w:p>
        </w:tc>
        <w:tc>
          <w:tcPr>
            <w:tcW w:type="dxa" w:w="2880"/>
          </w:tcPr>
          <w:p>
            <w:r>
              <w:t>SMTP, SMTPS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Authentication username</w:t>
            </w:r>
          </w:p>
        </w:tc>
        <w:tc>
          <w:tcPr>
            <w:tcW w:type="dxa" w:w="2880"/>
          </w:tcPr>
          <w:p>
            <w:r>
              <w:t>workflow@company.com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Authentication password</w:t>
            </w:r>
          </w:p>
        </w:tc>
        <w:tc>
          <w:tcPr>
            <w:tcW w:type="dxa" w:w="2880"/>
          </w:tcPr>
          <w:p>
            <w:r>
              <w:t>********</w:t>
            </w:r>
          </w:p>
        </w:tc>
      </w:tr>
      <w:tr>
        <w:tc>
          <w:tcPr>
            <w:tcW w:type="dxa" w:w="2160"/>
          </w:tcPr>
          <w:p>
            <w:r>
              <w:t>From Address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Sender email address</w:t>
            </w:r>
          </w:p>
        </w:tc>
        <w:tc>
          <w:tcPr>
            <w:tcW w:type="dxa" w:w="2880"/>
          </w:tcPr>
          <w:p>
            <w:r>
              <w:t>noreply@company.com</w:t>
            </w:r>
          </w:p>
        </w:tc>
      </w:tr>
      <w:tr>
        <w:tc>
          <w:tcPr>
            <w:tcW w:type="dxa" w:w="2160"/>
          </w:tcPr>
          <w:p>
            <w:r>
              <w:t>From Name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Sender display name</w:t>
            </w:r>
          </w:p>
        </w:tc>
        <w:tc>
          <w:tcPr>
            <w:tcW w:type="dxa" w:w="2880"/>
          </w:tcPr>
          <w:p>
            <w:r>
              <w:t>Workflow System</w:t>
            </w:r>
          </w:p>
        </w:tc>
      </w:tr>
      <w:tr>
        <w:tc>
          <w:tcPr>
            <w:tcW w:type="dxa" w:w="2160"/>
          </w:tcPr>
          <w:p>
            <w:r>
              <w:t>Enable TLS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Use TLS encryption</w:t>
            </w:r>
          </w:p>
        </w:tc>
        <w:tc>
          <w:tcPr>
            <w:tcW w:type="dxa" w:w="2880"/>
          </w:tcPr>
          <w:p>
            <w:r>
              <w:t>Yes/No</w:t>
            </w:r>
          </w:p>
        </w:tc>
      </w:tr>
      <w:tr>
        <w:tc>
          <w:tcPr>
            <w:tcW w:type="dxa" w:w="2160"/>
          </w:tcPr>
          <w:p>
            <w:r>
              <w:t>Enable SSL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Use SSL encryption</w:t>
            </w:r>
          </w:p>
        </w:tc>
        <w:tc>
          <w:tcPr>
            <w:tcW w:type="dxa" w:w="2880"/>
          </w:tcPr>
          <w:p>
            <w:r>
              <w:t>Yes/No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Email Configuration Form]</w:t>
      </w:r>
    </w:p>
    <w:p>
      <w:pPr>
        <w:jc w:val="center"/>
      </w:pPr>
      <w:r>
        <w:rPr>
          <w:i/>
          <w:sz w:val="20"/>
        </w:rPr>
        <w:t>Figure: Email Configuration Form</w:t>
      </w:r>
    </w:p>
    <w:p>
      <w:pPr>
        <w:pStyle w:val="Heading2"/>
      </w:pPr>
      <w:r>
        <w:t>4.2 Configuring Email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Settings &gt; Email Configuration</w:t>
      </w:r>
    </w:p>
    <w:p>
      <w:r>
        <w:rPr>
          <w:b/>
          <w:color w:val="0066CC"/>
        </w:rPr>
        <w:t xml:space="preserve">Step 2: </w:t>
      </w:r>
      <w:r>
        <w:t>Enter SMTP server details</w:t>
      </w:r>
    </w:p>
    <w:p>
      <w:r>
        <w:rPr>
          <w:b/>
          <w:color w:val="0066CC"/>
        </w:rPr>
        <w:t xml:space="preserve">Step 3: </w:t>
      </w:r>
      <w:r>
        <w:t>Enter authentication credentials</w:t>
      </w:r>
    </w:p>
    <w:p>
      <w:r>
        <w:rPr>
          <w:b/>
          <w:color w:val="0066CC"/>
        </w:rPr>
        <w:t xml:space="preserve">Step 4: </w:t>
      </w:r>
      <w:r>
        <w:t>Set the From address and name</w:t>
      </w:r>
    </w:p>
    <w:p>
      <w:r>
        <w:rPr>
          <w:b/>
          <w:color w:val="0066CC"/>
        </w:rPr>
        <w:t xml:space="preserve">Step 5: </w:t>
      </w:r>
      <w:r>
        <w:t>Enable encryption (TLS/SSL) as required</w:t>
      </w:r>
    </w:p>
    <w:p>
      <w:r>
        <w:rPr>
          <w:b/>
          <w:color w:val="0066CC"/>
        </w:rPr>
        <w:t xml:space="preserve">Step 6: </w:t>
      </w:r>
      <w:r>
        <w:t>Click 'Save' to store configuration</w:t>
      </w:r>
    </w:p>
    <w:p>
      <w:r>
        <w:rPr>
          <w:b/>
          <w:color w:val="0066CC"/>
        </w:rPr>
        <w:t xml:space="preserve">Step 7: </w:t>
      </w:r>
      <w:r>
        <w:t>Click 'Test Email' to verify settings</w:t>
      </w:r>
    </w:p>
    <w:p>
      <w:pPr>
        <w:pStyle w:val="Heading2"/>
      </w:pPr>
      <w:r>
        <w:t>4.3 Testing Email Configuration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After saving email settings, click 'Test Email' button</w:t>
      </w:r>
    </w:p>
    <w:p>
      <w:r>
        <w:rPr>
          <w:b/>
          <w:color w:val="0066CC"/>
        </w:rPr>
        <w:t xml:space="preserve">Step 2: </w:t>
      </w:r>
      <w:r>
        <w:t>Enter a test recipient email address</w:t>
      </w:r>
    </w:p>
    <w:p>
      <w:r>
        <w:rPr>
          <w:b/>
          <w:color w:val="0066CC"/>
        </w:rPr>
        <w:t xml:space="preserve">Step 3: </w:t>
      </w:r>
      <w:r>
        <w:t>Click 'Send Test'</w:t>
      </w:r>
    </w:p>
    <w:p>
      <w:r>
        <w:rPr>
          <w:b/>
          <w:color w:val="0066CC"/>
        </w:rPr>
        <w:t xml:space="preserve">Step 4: </w:t>
      </w:r>
      <w:r>
        <w:t>Check the recipient inbox for the test email</w:t>
      </w:r>
    </w:p>
    <w:p>
      <w:r>
        <w:rPr>
          <w:b/>
          <w:color w:val="0066CC"/>
        </w:rPr>
        <w:t xml:space="preserve">Step 5: </w:t>
      </w:r>
      <w:r>
        <w:t>Verify the email arrived and looks correct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If test email fails, check SMTP settings, firewall rules, and authentication credentials.</w:t>
      </w:r>
    </w:p>
    <w:p>
      <w:pPr>
        <w:pStyle w:val="Heading2"/>
      </w:pPr>
      <w:r>
        <w:t>4.4 Common Email Providers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Provider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SMTP Host</w:t>
            </w:r>
          </w:p>
        </w:tc>
        <w:tc>
          <w:tcPr>
            <w:tcW w:type="dxa" w:w="1152"/>
            <w:shd w:fill="003366"/>
          </w:tcPr>
          <w:p>
            <w:r>
              <w:rPr>
                <w:b/>
                <w:color w:val="FFFFFF"/>
              </w:rPr>
              <w:t>Port</w:t>
            </w:r>
          </w:p>
        </w:tc>
        <w:tc>
          <w:tcPr>
            <w:tcW w:type="dxa" w:w="1728"/>
            <w:shd w:fill="003366"/>
          </w:tcPr>
          <w:p>
            <w:r>
              <w:rPr>
                <w:b/>
                <w:color w:val="FFFFFF"/>
              </w:rPr>
              <w:t>Security</w:t>
            </w:r>
          </w:p>
        </w:tc>
      </w:tr>
      <w:tr>
        <w:tc>
          <w:tcPr>
            <w:tcW w:type="dxa" w:w="2880"/>
          </w:tcPr>
          <w:p>
            <w:r>
              <w:t>Microsoft 365</w:t>
            </w:r>
          </w:p>
        </w:tc>
        <w:tc>
          <w:tcPr>
            <w:tcW w:type="dxa" w:w="3600"/>
          </w:tcPr>
          <w:p>
            <w:r>
              <w:t>smtp.office365.com</w:t>
            </w:r>
          </w:p>
        </w:tc>
        <w:tc>
          <w:tcPr>
            <w:tcW w:type="dxa" w:w="1152"/>
          </w:tcPr>
          <w:p>
            <w:r>
              <w:t>587</w:t>
            </w:r>
          </w:p>
        </w:tc>
        <w:tc>
          <w:tcPr>
            <w:tcW w:type="dxa" w:w="1728"/>
          </w:tcPr>
          <w:p>
            <w:r>
              <w:t>TLS</w:t>
            </w:r>
          </w:p>
        </w:tc>
      </w:tr>
      <w:tr>
        <w:tc>
          <w:tcPr>
            <w:tcW w:type="dxa" w:w="2880"/>
          </w:tcPr>
          <w:p>
            <w:r>
              <w:t>Gmail</w:t>
            </w:r>
          </w:p>
        </w:tc>
        <w:tc>
          <w:tcPr>
            <w:tcW w:type="dxa" w:w="3600"/>
          </w:tcPr>
          <w:p>
            <w:r>
              <w:t>smtp.gmail.com</w:t>
            </w:r>
          </w:p>
        </w:tc>
        <w:tc>
          <w:tcPr>
            <w:tcW w:type="dxa" w:w="1152"/>
          </w:tcPr>
          <w:p>
            <w:r>
              <w:t>587</w:t>
            </w:r>
          </w:p>
        </w:tc>
        <w:tc>
          <w:tcPr>
            <w:tcW w:type="dxa" w:w="1728"/>
          </w:tcPr>
          <w:p>
            <w:r>
              <w:t>TLS</w:t>
            </w:r>
          </w:p>
        </w:tc>
      </w:tr>
      <w:tr>
        <w:tc>
          <w:tcPr>
            <w:tcW w:type="dxa" w:w="2880"/>
          </w:tcPr>
          <w:p>
            <w:r>
              <w:t>Amazon SES</w:t>
            </w:r>
          </w:p>
        </w:tc>
        <w:tc>
          <w:tcPr>
            <w:tcW w:type="dxa" w:w="3600"/>
          </w:tcPr>
          <w:p>
            <w:r>
              <w:t>email-smtp.region.amazonaws.com</w:t>
            </w:r>
          </w:p>
        </w:tc>
        <w:tc>
          <w:tcPr>
            <w:tcW w:type="dxa" w:w="1152"/>
          </w:tcPr>
          <w:p>
            <w:r>
              <w:t>587</w:t>
            </w:r>
          </w:p>
        </w:tc>
        <w:tc>
          <w:tcPr>
            <w:tcW w:type="dxa" w:w="1728"/>
          </w:tcPr>
          <w:p>
            <w:r>
              <w:t>TLS</w:t>
            </w:r>
          </w:p>
        </w:tc>
      </w:tr>
      <w:tr>
        <w:tc>
          <w:tcPr>
            <w:tcW w:type="dxa" w:w="2880"/>
          </w:tcPr>
          <w:p>
            <w:r>
              <w:t>Custom Server</w:t>
            </w:r>
          </w:p>
        </w:tc>
        <w:tc>
          <w:tcPr>
            <w:tcW w:type="dxa" w:w="3600"/>
          </w:tcPr>
          <w:p>
            <w:r>
              <w:t>mail.yourcompany.com</w:t>
            </w:r>
          </w:p>
        </w:tc>
        <w:tc>
          <w:tcPr>
            <w:tcW w:type="dxa" w:w="1152"/>
          </w:tcPr>
          <w:p>
            <w:r>
              <w:t>25/587/465</w:t>
            </w:r>
          </w:p>
        </w:tc>
        <w:tc>
          <w:tcPr>
            <w:tcW w:type="dxa" w:w="1728"/>
          </w:tcPr>
          <w:p>
            <w:r>
              <w:t>Varies</w:t>
            </w:r>
          </w:p>
        </w:tc>
      </w:tr>
    </w:tbl>
    <w:p/>
    <w:p>
      <w:pPr>
        <w:pStyle w:val="Heading1"/>
      </w:pPr>
      <w:r>
        <w:t>5. Workflow Settings</w:t>
      </w:r>
    </w:p>
    <w:p>
      <w:pPr>
        <w:pStyle w:val="Heading2"/>
      </w:pPr>
      <w:r>
        <w:t>5.1 Default Workflow Behaviors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Require Approvers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Workflows must have at least one approver</w:t>
            </w:r>
          </w:p>
        </w:tc>
      </w:tr>
      <w:tr>
        <w:tc>
          <w:tcPr>
            <w:tcW w:type="dxa" w:w="3600"/>
          </w:tcPr>
          <w:p>
            <w:r>
              <w:t>Allow Draft Save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Users can save incomplete submissions</w:t>
            </w:r>
          </w:p>
        </w:tc>
      </w:tr>
      <w:tr>
        <w:tc>
          <w:tcPr>
            <w:tcW w:type="dxa" w:w="3600"/>
          </w:tcPr>
          <w:p>
            <w:r>
              <w:t>Allow Recall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Initiators can recall pending workflows</w:t>
            </w:r>
          </w:p>
        </w:tc>
      </w:tr>
      <w:tr>
        <w:tc>
          <w:tcPr>
            <w:tcW w:type="dxa" w:w="3600"/>
          </w:tcPr>
          <w:p>
            <w:r>
              <w:t>Allow Cancel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Initiators can cancel their workflows</w:t>
            </w:r>
          </w:p>
        </w:tc>
      </w:tr>
      <w:tr>
        <w:tc>
          <w:tcPr>
            <w:tcW w:type="dxa" w:w="3600"/>
          </w:tcPr>
          <w:p>
            <w:r>
              <w:t>Require Approval Comment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Force comments when approving</w:t>
            </w:r>
          </w:p>
        </w:tc>
      </w:tr>
      <w:tr>
        <w:tc>
          <w:tcPr>
            <w:tcW w:type="dxa" w:w="3600"/>
          </w:tcPr>
          <w:p>
            <w:r>
              <w:t>Require Rejection Comment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Force comments when rejecting</w:t>
            </w:r>
          </w:p>
        </w:tc>
      </w:tr>
      <w:tr>
        <w:tc>
          <w:tcPr>
            <w:tcW w:type="dxa" w:w="3600"/>
          </w:tcPr>
          <w:p>
            <w:r>
              <w:t>Auto-Generate Reference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System generates reference numbers</w:t>
            </w:r>
          </w:p>
        </w:tc>
      </w:tr>
    </w:tbl>
    <w:p/>
    <w:p>
      <w:pPr>
        <w:pStyle w:val="Heading2"/>
      </w:pPr>
      <w:r>
        <w:t>5.2 Reference Number Format</w:t>
      </w:r>
    </w:p>
    <w:p>
      <w:r>
        <w:rPr>
          <w:b w:val="0"/>
          <w:i w:val="0"/>
        </w:rPr>
        <w:t>Configure how workflow reference numbers are generated: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Token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t>Prefix</w:t>
            </w:r>
          </w:p>
        </w:tc>
        <w:tc>
          <w:tcPr>
            <w:tcW w:type="dxa" w:w="2160"/>
          </w:tcPr>
          <w:p>
            <w:r>
              <w:t>WF</w:t>
            </w:r>
          </w:p>
        </w:tc>
        <w:tc>
          <w:tcPr>
            <w:tcW w:type="dxa" w:w="2880"/>
          </w:tcPr>
          <w:p>
            <w:r>
              <w:t>WF-</w:t>
            </w:r>
          </w:p>
        </w:tc>
      </w:tr>
      <w:tr>
        <w:tc>
          <w:tcPr>
            <w:tcW w:type="dxa" w:w="2880"/>
          </w:tcPr>
          <w:p>
            <w:r>
              <w:t>Year</w:t>
            </w:r>
          </w:p>
        </w:tc>
        <w:tc>
          <w:tcPr>
            <w:tcW w:type="dxa" w:w="2160"/>
          </w:tcPr>
          <w:p>
            <w:r>
              <w:t>{YYYY}</w:t>
            </w:r>
          </w:p>
        </w:tc>
        <w:tc>
          <w:tcPr>
            <w:tcW w:type="dxa" w:w="2880"/>
          </w:tcPr>
          <w:p>
            <w:r>
              <w:t>2024</w:t>
            </w:r>
          </w:p>
        </w:tc>
      </w:tr>
      <w:tr>
        <w:tc>
          <w:tcPr>
            <w:tcW w:type="dxa" w:w="2880"/>
          </w:tcPr>
          <w:p>
            <w:r>
              <w:t>Month</w:t>
            </w:r>
          </w:p>
        </w:tc>
        <w:tc>
          <w:tcPr>
            <w:tcW w:type="dxa" w:w="2160"/>
          </w:tcPr>
          <w:p>
            <w:r>
              <w:t>{MM}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Sequential</w:t>
            </w:r>
          </w:p>
        </w:tc>
        <w:tc>
          <w:tcPr>
            <w:tcW w:type="dxa" w:w="2160"/>
          </w:tcPr>
          <w:p>
            <w:r>
              <w:t>{SEQ}</w:t>
            </w:r>
          </w:p>
        </w:tc>
        <w:tc>
          <w:tcPr>
            <w:tcW w:type="dxa" w:w="2880"/>
          </w:tcPr>
          <w:p>
            <w:r>
              <w:t>00001</w:t>
            </w:r>
          </w:p>
        </w:tc>
      </w:tr>
      <w:tr>
        <w:tc>
          <w:tcPr>
            <w:tcW w:type="dxa" w:w="2880"/>
          </w:tcPr>
          <w:p>
            <w:r>
              <w:t>Workflow Code</w:t>
            </w:r>
          </w:p>
        </w:tc>
        <w:tc>
          <w:tcPr>
            <w:tcW w:type="dxa" w:w="2160"/>
          </w:tcPr>
          <w:p>
            <w:r>
              <w:t>{CODE}</w:t>
            </w:r>
          </w:p>
        </w:tc>
        <w:tc>
          <w:tcPr>
            <w:tcW w:type="dxa" w:w="2880"/>
          </w:tcPr>
          <w:p>
            <w:r>
              <w:t>PR</w:t>
            </w:r>
          </w:p>
        </w:tc>
      </w:tr>
    </w:tbl>
    <w:p/>
    <w:p/>
    <w:p>
      <w:pPr>
        <w:ind w:left="720"/>
      </w:pPr>
      <w:r>
        <w:rPr>
          <w:b/>
          <w:color w:val="006633"/>
        </w:rPr>
        <w:t>Example: Reference Number Format</w:t>
        <w:br/>
      </w:r>
      <w:r>
        <w:rPr>
          <w:i/>
          <w:sz w:val="20"/>
        </w:rPr>
        <w:t>Format: WF-{YYYY}-{SEQ}</w:t>
        <w:br/>
        <w:t>Result: WF-2024-00001, WF-2024-00002, ...</w:t>
        <w:br/>
        <w:br/>
        <w:t>Format: {CODE}/{YYYY}/{MM}/{SEQ}</w:t>
        <w:br/>
        <w:t>Result: PR/2024/01/00001, PR/2024/01/00002, ...</w:t>
        <w:br/>
      </w:r>
    </w:p>
    <w:p>
      <w:pPr>
        <w:pStyle w:val="Heading2"/>
      </w:pPr>
      <w:r>
        <w:t>5.3 Escalation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Default Escalation Days</w:t>
            </w:r>
          </w:p>
        </w:tc>
        <w:tc>
          <w:tcPr>
            <w:tcW w:type="dxa" w:w="2160"/>
          </w:tcPr>
          <w:p>
            <w:r>
              <w:t>3 days</w:t>
            </w:r>
          </w:p>
        </w:tc>
        <w:tc>
          <w:tcPr>
            <w:tcW w:type="dxa" w:w="3600"/>
          </w:tcPr>
          <w:p>
            <w:r>
              <w:t>Time before auto-escalation</w:t>
            </w:r>
          </w:p>
        </w:tc>
      </w:tr>
      <w:tr>
        <w:tc>
          <w:tcPr>
            <w:tcW w:type="dxa" w:w="3600"/>
          </w:tcPr>
          <w:p>
            <w:r>
              <w:t>Send Escalation Email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3600"/>
          </w:tcPr>
          <w:p>
            <w:r>
              <w:t>Notify when workflow escalates</w:t>
            </w:r>
          </w:p>
        </w:tc>
      </w:tr>
      <w:tr>
        <w:tc>
          <w:tcPr>
            <w:tcW w:type="dxa" w:w="3600"/>
          </w:tcPr>
          <w:p>
            <w:r>
              <w:t>Send Reminder Email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3600"/>
          </w:tcPr>
          <w:p>
            <w:r>
              <w:t>Send reminders before escalation</w:t>
            </w:r>
          </w:p>
        </w:tc>
      </w:tr>
    </w:tbl>
    <w:p/>
    <w:p>
      <w:pPr>
        <w:pStyle w:val="Heading1"/>
      </w:pPr>
      <w:r>
        <w:t>6. Security Settings</w:t>
      </w:r>
    </w:p>
    <w:p>
      <w:pPr>
        <w:pStyle w:val="Heading2"/>
      </w:pPr>
      <w:r>
        <w:t>6.1 Password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Minimum Length</w:t>
            </w:r>
          </w:p>
        </w:tc>
        <w:tc>
          <w:tcPr>
            <w:tcW w:type="dxa" w:w="2160"/>
          </w:tcPr>
          <w:p>
            <w:r>
              <w:t>8 characters</w:t>
            </w:r>
          </w:p>
        </w:tc>
        <w:tc>
          <w:tcPr>
            <w:tcW w:type="dxa" w:w="4320"/>
          </w:tcPr>
          <w:p>
            <w:r>
              <w:t>Minimum password length</w:t>
            </w:r>
          </w:p>
        </w:tc>
      </w:tr>
      <w:tr>
        <w:tc>
          <w:tcPr>
            <w:tcW w:type="dxa" w:w="2880"/>
          </w:tcPr>
          <w:p>
            <w:r>
              <w:t>Require Uppercase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Must include uppercase letter</w:t>
            </w:r>
          </w:p>
        </w:tc>
      </w:tr>
      <w:tr>
        <w:tc>
          <w:tcPr>
            <w:tcW w:type="dxa" w:w="2880"/>
          </w:tcPr>
          <w:p>
            <w:r>
              <w:t>Require Lowercase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Must include lowercase letter</w:t>
            </w:r>
          </w:p>
        </w:tc>
      </w:tr>
      <w:tr>
        <w:tc>
          <w:tcPr>
            <w:tcW w:type="dxa" w:w="2880"/>
          </w:tcPr>
          <w:p>
            <w:r>
              <w:t>Require Number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Must include digit</w:t>
            </w:r>
          </w:p>
        </w:tc>
      </w:tr>
      <w:tr>
        <w:tc>
          <w:tcPr>
            <w:tcW w:type="dxa" w:w="2880"/>
          </w:tcPr>
          <w:p>
            <w:r>
              <w:t>Require Special Char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Must include special character</w:t>
            </w:r>
          </w:p>
        </w:tc>
      </w:tr>
      <w:tr>
        <w:tc>
          <w:tcPr>
            <w:tcW w:type="dxa" w:w="2880"/>
          </w:tcPr>
          <w:p>
            <w:r>
              <w:t>Password Expiry</w:t>
            </w:r>
          </w:p>
        </w:tc>
        <w:tc>
          <w:tcPr>
            <w:tcW w:type="dxa" w:w="2160"/>
          </w:tcPr>
          <w:p>
            <w:r>
              <w:t>90 days</w:t>
            </w:r>
          </w:p>
        </w:tc>
        <w:tc>
          <w:tcPr>
            <w:tcW w:type="dxa" w:w="4320"/>
          </w:tcPr>
          <w:p>
            <w:r>
              <w:t>Days before password must change</w:t>
            </w:r>
          </w:p>
        </w:tc>
      </w:tr>
      <w:tr>
        <w:tc>
          <w:tcPr>
            <w:tcW w:type="dxa" w:w="2880"/>
          </w:tcPr>
          <w:p>
            <w:r>
              <w:t>Password History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Number of previous passwords prevented</w:t>
            </w:r>
          </w:p>
        </w:tc>
      </w:tr>
    </w:tbl>
    <w:p/>
    <w:p>
      <w:pPr>
        <w:pStyle w:val="Heading2"/>
      </w:pPr>
      <w:r>
        <w:t>6.2 Account Lockout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Max Failed Attempts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3600"/>
          </w:tcPr>
          <w:p>
            <w:r>
              <w:t>Failed logins before lockout</w:t>
            </w:r>
          </w:p>
        </w:tc>
      </w:tr>
      <w:tr>
        <w:tc>
          <w:tcPr>
            <w:tcW w:type="dxa" w:w="3600"/>
          </w:tcPr>
          <w:p>
            <w:r>
              <w:t>Lockout Duration</w:t>
            </w:r>
          </w:p>
        </w:tc>
        <w:tc>
          <w:tcPr>
            <w:tcW w:type="dxa" w:w="2160"/>
          </w:tcPr>
          <w:p>
            <w:r>
              <w:t>30 minutes</w:t>
            </w:r>
          </w:p>
        </w:tc>
        <w:tc>
          <w:tcPr>
            <w:tcW w:type="dxa" w:w="3600"/>
          </w:tcPr>
          <w:p>
            <w:r>
              <w:t>Auto-unlock after this time</w:t>
            </w:r>
          </w:p>
        </w:tc>
      </w:tr>
      <w:tr>
        <w:tc>
          <w:tcPr>
            <w:tcW w:type="dxa" w:w="3600"/>
          </w:tcPr>
          <w:p>
            <w:r>
              <w:t>Reset Counter After</w:t>
            </w:r>
          </w:p>
        </w:tc>
        <w:tc>
          <w:tcPr>
            <w:tcW w:type="dxa" w:w="2160"/>
          </w:tcPr>
          <w:p>
            <w:r>
              <w:t>30 minutes</w:t>
            </w:r>
          </w:p>
        </w:tc>
        <w:tc>
          <w:tcPr>
            <w:tcW w:type="dxa" w:w="3600"/>
          </w:tcPr>
          <w:p>
            <w:r>
              <w:t>Clear failed count after success</w:t>
            </w:r>
          </w:p>
        </w:tc>
      </w:tr>
    </w:tbl>
    <w:p/>
    <w:p>
      <w:pPr>
        <w:pStyle w:val="Heading2"/>
      </w:pPr>
      <w:r>
        <w:t>6.3 Session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Token Expiry</w:t>
            </w:r>
          </w:p>
        </w:tc>
        <w:tc>
          <w:tcPr>
            <w:tcW w:type="dxa" w:w="2160"/>
          </w:tcPr>
          <w:p>
            <w:r>
              <w:t>8 hours</w:t>
            </w:r>
          </w:p>
        </w:tc>
        <w:tc>
          <w:tcPr>
            <w:tcW w:type="dxa" w:w="3600"/>
          </w:tcPr>
          <w:p>
            <w:r>
              <w:t>JWT token validity period</w:t>
            </w:r>
          </w:p>
        </w:tc>
      </w:tr>
      <w:tr>
        <w:tc>
          <w:tcPr>
            <w:tcW w:type="dxa" w:w="3600"/>
          </w:tcPr>
          <w:p>
            <w:r>
              <w:t>Secure Cookies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3600"/>
          </w:tcPr>
          <w:p>
            <w:r>
              <w:t>Use secure flag for cookies</w:t>
            </w:r>
          </w:p>
        </w:tc>
      </w:tr>
      <w:tr>
        <w:tc>
          <w:tcPr>
            <w:tcW w:type="dxa" w:w="3600"/>
          </w:tcPr>
          <w:p>
            <w:r>
              <w:t>SameSite Policy</w:t>
            </w:r>
          </w:p>
        </w:tc>
        <w:tc>
          <w:tcPr>
            <w:tcW w:type="dxa" w:w="2160"/>
          </w:tcPr>
          <w:p>
            <w:r>
              <w:t>Strict</w:t>
            </w:r>
          </w:p>
        </w:tc>
        <w:tc>
          <w:tcPr>
            <w:tcW w:type="dxa" w:w="3600"/>
          </w:tcPr>
          <w:p>
            <w:r>
              <w:t>Cookie same-site policy</w:t>
            </w:r>
          </w:p>
        </w:tc>
      </w:tr>
    </w:tbl>
    <w:p/>
    <w:p>
      <w:pPr>
        <w:pStyle w:val="Heading1"/>
      </w:pPr>
      <w:r>
        <w:t>7. Notification Settings</w:t>
      </w:r>
    </w:p>
    <w:p>
      <w:pPr>
        <w:pStyle w:val="Heading2"/>
      </w:pPr>
      <w:r>
        <w:t>7.1 Email Notification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Notification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Recipients</w:t>
            </w:r>
          </w:p>
        </w:tc>
      </w:tr>
      <w:tr>
        <w:tc>
          <w:tcPr>
            <w:tcW w:type="dxa" w:w="3600"/>
          </w:tcPr>
          <w:p>
            <w:r>
              <w:t>Workflow Submitted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First level approver</w:t>
            </w:r>
          </w:p>
        </w:tc>
      </w:tr>
      <w:tr>
        <w:tc>
          <w:tcPr>
            <w:tcW w:type="dxa" w:w="3600"/>
          </w:tcPr>
          <w:p>
            <w:r>
              <w:t>Workflow Approved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Initiator, next approver</w:t>
            </w:r>
          </w:p>
        </w:tc>
      </w:tr>
      <w:tr>
        <w:tc>
          <w:tcPr>
            <w:tcW w:type="dxa" w:w="3600"/>
          </w:tcPr>
          <w:p>
            <w:r>
              <w:t>Workflow Rejected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Initiator</w:t>
            </w:r>
          </w:p>
        </w:tc>
      </w:tr>
      <w:tr>
        <w:tc>
          <w:tcPr>
            <w:tcW w:type="dxa" w:w="3600"/>
          </w:tcPr>
          <w:p>
            <w:r>
              <w:t>Workflow Escalated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Escalation target, initiator</w:t>
            </w:r>
          </w:p>
        </w:tc>
      </w:tr>
      <w:tr>
        <w:tc>
          <w:tcPr>
            <w:tcW w:type="dxa" w:w="3600"/>
          </w:tcPr>
          <w:p>
            <w:r>
              <w:t>Workflow Recalled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Previous approver</w:t>
            </w:r>
          </w:p>
        </w:tc>
      </w:tr>
      <w:tr>
        <w:tc>
          <w:tcPr>
            <w:tcW w:type="dxa" w:w="3600"/>
          </w:tcPr>
          <w:p>
            <w:r>
              <w:t>Password Reset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User requesting reset</w:t>
            </w:r>
          </w:p>
        </w:tc>
      </w:tr>
      <w:tr>
        <w:tc>
          <w:tcPr>
            <w:tcW w:type="dxa" w:w="3600"/>
          </w:tcPr>
          <w:p>
            <w:r>
              <w:t>Account Locked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User, admin</w:t>
            </w:r>
          </w:p>
        </w:tc>
      </w:tr>
    </w:tbl>
    <w:p/>
    <w:p>
      <w:pPr>
        <w:pStyle w:val="Heading2"/>
      </w:pPr>
      <w:r>
        <w:t>7.2 Enabling/Disabling Notifications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Settings &gt; Notifications</w:t>
      </w:r>
    </w:p>
    <w:p>
      <w:r>
        <w:rPr>
          <w:b/>
          <w:color w:val="0066CC"/>
        </w:rPr>
        <w:t xml:space="preserve">Step 2: </w:t>
      </w:r>
      <w:r>
        <w:t>Find the notification type</w:t>
      </w:r>
    </w:p>
    <w:p>
      <w:r>
        <w:rPr>
          <w:b/>
          <w:color w:val="0066CC"/>
        </w:rPr>
        <w:t xml:space="preserve">Step 3: </w:t>
      </w:r>
      <w:r>
        <w:t>Toggle the switch to enable/disable</w:t>
      </w:r>
    </w:p>
    <w:p>
      <w:r>
        <w:rPr>
          <w:b/>
          <w:color w:val="0066CC"/>
        </w:rPr>
        <w:t xml:space="preserve">Step 4: </w:t>
      </w:r>
      <w:r>
        <w:t>Click 'Save' to apply changes</w:t>
      </w:r>
    </w:p>
    <w:p>
      <w:pPr>
        <w:pStyle w:val="Heading2"/>
      </w:pPr>
      <w:r>
        <w:t>7.3 Email Approval Links</w:t>
      </w:r>
    </w:p>
    <w:p>
      <w:r>
        <w:rPr>
          <w:b w:val="0"/>
          <w:i w:val="0"/>
        </w:rPr>
        <w:t>Configure whether approval emails include direct action links: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Include Approve Link</w:t>
            </w:r>
          </w:p>
        </w:tc>
        <w:tc>
          <w:tcPr>
            <w:tcW w:type="dxa" w:w="6480"/>
          </w:tcPr>
          <w:p>
            <w:r>
              <w:t>Email contains direct approve button/link</w:t>
            </w:r>
          </w:p>
        </w:tc>
      </w:tr>
      <w:tr>
        <w:tc>
          <w:tcPr>
            <w:tcW w:type="dxa" w:w="2880"/>
          </w:tcPr>
          <w:p>
            <w:r>
              <w:t>Include Reject Link</w:t>
            </w:r>
          </w:p>
        </w:tc>
        <w:tc>
          <w:tcPr>
            <w:tcW w:type="dxa" w:w="6480"/>
          </w:tcPr>
          <w:p>
            <w:r>
              <w:t>Email contains direct reject button/link</w:t>
            </w:r>
          </w:p>
        </w:tc>
      </w:tr>
      <w:tr>
        <w:tc>
          <w:tcPr>
            <w:tcW w:type="dxa" w:w="2880"/>
          </w:tcPr>
          <w:p>
            <w:r>
              <w:t>Link Expiry</w:t>
            </w:r>
          </w:p>
        </w:tc>
        <w:tc>
          <w:tcPr>
            <w:tcW w:type="dxa" w:w="6480"/>
          </w:tcPr>
          <w:p>
            <w:r>
              <w:t>How long email links remain valid (default 7 days)</w:t>
            </w:r>
          </w:p>
        </w:tc>
      </w:tr>
    </w:tbl>
    <w:p/>
    <w:p>
      <w:pPr>
        <w:pStyle w:val="Heading1"/>
      </w:pPr>
      <w:r>
        <w:t>8. UI Customization</w:t>
      </w:r>
    </w:p>
    <w:p>
      <w:pPr>
        <w:pStyle w:val="Heading2"/>
      </w:pPr>
      <w:r>
        <w:t>8.1 Branding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Application Name</w:t>
            </w:r>
          </w:p>
        </w:tc>
        <w:tc>
          <w:tcPr>
            <w:tcW w:type="dxa" w:w="6480"/>
          </w:tcPr>
          <w:p>
            <w:r>
              <w:t>Name shown in browser tab and header</w:t>
            </w:r>
          </w:p>
        </w:tc>
      </w:tr>
      <w:tr>
        <w:tc>
          <w:tcPr>
            <w:tcW w:type="dxa" w:w="2880"/>
          </w:tcPr>
          <w:p>
            <w:r>
              <w:t>Logo</w:t>
            </w:r>
          </w:p>
        </w:tc>
        <w:tc>
          <w:tcPr>
            <w:tcW w:type="dxa" w:w="6480"/>
          </w:tcPr>
          <w:p>
            <w:r>
              <w:t>Application logo (recommended: 200x50px)</w:t>
            </w:r>
          </w:p>
        </w:tc>
      </w:tr>
      <w:tr>
        <w:tc>
          <w:tcPr>
            <w:tcW w:type="dxa" w:w="2880"/>
          </w:tcPr>
          <w:p>
            <w:r>
              <w:t>Favicon</w:t>
            </w:r>
          </w:p>
        </w:tc>
        <w:tc>
          <w:tcPr>
            <w:tcW w:type="dxa" w:w="6480"/>
          </w:tcPr>
          <w:p>
            <w:r>
              <w:t>Browser tab icon (16x16 or 32x32 ICO/PNG)</w:t>
            </w:r>
          </w:p>
        </w:tc>
      </w:tr>
      <w:tr>
        <w:tc>
          <w:tcPr>
            <w:tcW w:type="dxa" w:w="2880"/>
          </w:tcPr>
          <w:p>
            <w:r>
              <w:t>Primary Color</w:t>
            </w:r>
          </w:p>
        </w:tc>
        <w:tc>
          <w:tcPr>
            <w:tcW w:type="dxa" w:w="6480"/>
          </w:tcPr>
          <w:p>
            <w:r>
              <w:t>Main theme color</w:t>
            </w:r>
          </w:p>
        </w:tc>
      </w:tr>
      <w:tr>
        <w:tc>
          <w:tcPr>
            <w:tcW w:type="dxa" w:w="2880"/>
          </w:tcPr>
          <w:p>
            <w:r>
              <w:t>Secondary Color</w:t>
            </w:r>
          </w:p>
        </w:tc>
        <w:tc>
          <w:tcPr>
            <w:tcW w:type="dxa" w:w="6480"/>
          </w:tcPr>
          <w:p>
            <w:r>
              <w:t>Accent color for highlights</w:t>
            </w:r>
          </w:p>
        </w:tc>
      </w:tr>
    </w:tbl>
    <w:p/>
    <w:p>
      <w:pPr>
        <w:pStyle w:val="Heading2"/>
      </w:pPr>
      <w:r>
        <w:t>8.2 Theme Settings</w:t>
      </w:r>
    </w:p>
    <w:p>
      <w:r>
        <w:rPr>
          <w:b w:val="0"/>
          <w:i w:val="0"/>
        </w:rPr>
        <w:t>The Theme Settings tab provides comprehensive control over the application's visual appearance. Changes apply immediately after saving.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Dark Theme</w:t>
            </w:r>
          </w:p>
        </w:tc>
        <w:tc>
          <w:tcPr>
            <w:tcW w:type="dxa" w:w="1440"/>
          </w:tcPr>
          <w:p>
            <w:r>
              <w:t>Toggle</w:t>
            </w:r>
          </w:p>
        </w:tc>
        <w:tc>
          <w:tcPr>
            <w:tcW w:type="dxa" w:w="5040"/>
          </w:tcPr>
          <w:p>
            <w:r>
              <w:t>Enable dark mode with dark backgrounds and light text</w:t>
            </w:r>
          </w:p>
        </w:tc>
      </w:tr>
      <w:tr>
        <w:tc>
          <w:tcPr>
            <w:tcW w:type="dxa" w:w="2880"/>
          </w:tcPr>
          <w:p>
            <w:r>
              <w:t>Primary Color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Main brand color used throughout the application</w:t>
            </w:r>
          </w:p>
        </w:tc>
      </w:tr>
      <w:tr>
        <w:tc>
          <w:tcPr>
            <w:tcW w:type="dxa" w:w="2880"/>
          </w:tcPr>
          <w:p>
            <w:r>
              <w:t>Secondary Color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Accent color for highlights and secondary elements</w:t>
            </w:r>
          </w:p>
        </w:tc>
      </w:tr>
      <w:tr>
        <w:tc>
          <w:tcPr>
            <w:tcW w:type="dxa" w:w="2880"/>
          </w:tcPr>
          <w:p>
            <w:r>
              <w:t>Sidebar Background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Background color of the navigation sidebar</w:t>
            </w:r>
          </w:p>
        </w:tc>
      </w:tr>
      <w:tr>
        <w:tc>
          <w:tcPr>
            <w:tcW w:type="dxa" w:w="2880"/>
          </w:tcPr>
          <w:p>
            <w:r>
              <w:t>Sidebar Text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Text color in the navigation sidebar</w:t>
            </w:r>
          </w:p>
        </w:tc>
      </w:tr>
      <w:tr>
        <w:tc>
          <w:tcPr>
            <w:tcW w:type="dxa" w:w="2880"/>
          </w:tcPr>
          <w:p>
            <w:r>
              <w:t>Header Background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Background color of the top header bar</w:t>
            </w:r>
          </w:p>
        </w:tc>
      </w:tr>
      <w:tr>
        <w:tc>
          <w:tcPr>
            <w:tcW w:type="dxa" w:w="2880"/>
          </w:tcPr>
          <w:p>
            <w:r>
              <w:t>Header Text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Text color in the header</w:t>
            </w:r>
          </w:p>
        </w:tc>
      </w:tr>
      <w:tr>
        <w:tc>
          <w:tcPr>
            <w:tcW w:type="dxa" w:w="2880"/>
          </w:tcPr>
          <w:p>
            <w:r>
              <w:t>Body Background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Main content area background color</w:t>
            </w:r>
          </w:p>
        </w:tc>
      </w:tr>
      <w:tr>
        <w:tc>
          <w:tcPr>
            <w:tcW w:type="dxa" w:w="2880"/>
          </w:tcPr>
          <w:p>
            <w:r>
              <w:t>Card Background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Background color for cards and panels</w:t>
            </w:r>
          </w:p>
        </w:tc>
      </w:tr>
      <w:tr>
        <w:tc>
          <w:tcPr>
            <w:tcW w:type="dxa" w:w="2880"/>
          </w:tcPr>
          <w:p>
            <w:r>
              <w:t>Button Primary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Primary action button color</w:t>
            </w:r>
          </w:p>
        </w:tc>
      </w:tr>
      <w:tr>
        <w:tc>
          <w:tcPr>
            <w:tcW w:type="dxa" w:w="2880"/>
          </w:tcPr>
          <w:p>
            <w:r>
              <w:t>Success/Warning/Error</w:t>
            </w:r>
          </w:p>
        </w:tc>
        <w:tc>
          <w:tcPr>
            <w:tcW w:type="dxa" w:w="1440"/>
          </w:tcPr>
          <w:p>
            <w:r>
              <w:t>Colors</w:t>
            </w:r>
          </w:p>
        </w:tc>
        <w:tc>
          <w:tcPr>
            <w:tcW w:type="dxa" w:w="5040"/>
          </w:tcPr>
          <w:p>
            <w:r>
              <w:t>Status indicator colors</w:t>
            </w:r>
          </w:p>
        </w:tc>
      </w:tr>
    </w:tbl>
    <w:p/>
    <w:p>
      <w:pPr>
        <w:pStyle w:val="Heading3"/>
      </w:pPr>
      <w:r>
        <w:t>8.2.1 Dark Mode</w:t>
      </w:r>
    </w:p>
    <w:p>
      <w:r>
        <w:rPr>
          <w:b w:val="0"/>
          <w:i w:val="0"/>
        </w:rPr>
        <w:t>Dark Mode provides a darker color scheme that reduces eye strain in low-light environments and can save battery on OLED displays.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Settings &gt; Theme Settings tab</w:t>
      </w:r>
    </w:p>
    <w:p>
      <w:r>
        <w:rPr>
          <w:b/>
          <w:color w:val="0066CC"/>
        </w:rPr>
        <w:t xml:space="preserve">Step 2: </w:t>
      </w:r>
      <w:r>
        <w:t>Toggle 'Dark Theme' to ON</w:t>
      </w:r>
    </w:p>
    <w:p>
      <w:r>
        <w:rPr>
          <w:b/>
          <w:color w:val="0066CC"/>
        </w:rPr>
        <w:t xml:space="preserve">Step 3: </w:t>
      </w:r>
      <w:r>
        <w:t>Click 'Save Changes'</w:t>
      </w:r>
    </w:p>
    <w:p>
      <w:r>
        <w:rPr>
          <w:b/>
          <w:color w:val="0066CC"/>
        </w:rPr>
        <w:t xml:space="preserve">Step 4: </w:t>
      </w:r>
      <w:r>
        <w:t>The interface immediately switches to dark mode</w:t>
      </w:r>
    </w:p>
    <w:p>
      <w:r>
        <w:rPr>
          <w:b/>
          <w:color w:val="0066CC"/>
        </w:rPr>
        <w:t xml:space="preserve">Step 5: </w:t>
      </w:r>
      <w:r>
        <w:t>All components including forms, dialogs, and menus respect dark mode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Dark mode settings are stored per-user in local storage for faster loading on return visits.</w:t>
      </w:r>
    </w:p>
    <w:p>
      <w:pPr>
        <w:pStyle w:val="Heading2"/>
      </w:pPr>
      <w:r>
        <w:t>8.3 Dashboard Customization</w:t>
      </w:r>
    </w:p>
    <w:p>
      <w:pPr>
        <w:pStyle w:val="ListBullet"/>
      </w:pPr>
      <w:r>
        <w:t>Configure which widgets appear on the dashboard</w:t>
      </w:r>
    </w:p>
    <w:p>
      <w:pPr>
        <w:pStyle w:val="ListBullet"/>
      </w:pPr>
      <w:r>
        <w:t>Set default number of items in lists</w:t>
      </w:r>
    </w:p>
    <w:p>
      <w:pPr>
        <w:pStyle w:val="ListBullet"/>
      </w:pPr>
      <w:r>
        <w:t>Configure quick action buttons</w:t>
      </w:r>
    </w:p>
    <w:p>
      <w:pPr>
        <w:pStyle w:val="ListBullet"/>
      </w:pPr>
      <w:r>
        <w:t>Set default landing page after login</w:t>
      </w:r>
    </w:p>
    <w:p>
      <w:pPr>
        <w:pStyle w:val="Heading1"/>
      </w:pPr>
      <w:r>
        <w:t>9. Best Practices</w:t>
      </w:r>
    </w:p>
    <w:p>
      <w:pPr>
        <w:pStyle w:val="Heading2"/>
      </w:pPr>
      <w:r>
        <w:t>9.1 Before Changing Settings</w:t>
      </w:r>
    </w:p>
    <w:p>
      <w:pPr>
        <w:pStyle w:val="ListNumber"/>
      </w:pPr>
      <w:r>
        <w:t>Document current settings before changes</w:t>
      </w:r>
    </w:p>
    <w:p>
      <w:pPr>
        <w:pStyle w:val="ListNumber"/>
      </w:pPr>
      <w:r>
        <w:t>Test changes in non-production environment first</w:t>
      </w:r>
    </w:p>
    <w:p>
      <w:pPr>
        <w:pStyle w:val="ListNumber"/>
      </w:pPr>
      <w:r>
        <w:t>Notify users of significant changes</w:t>
      </w:r>
    </w:p>
    <w:p>
      <w:pPr>
        <w:pStyle w:val="ListNumber"/>
      </w:pPr>
      <w:r>
        <w:t>Schedule changes during low-usage periods</w:t>
      </w:r>
    </w:p>
    <w:p>
      <w:pPr>
        <w:pStyle w:val="ListNumber"/>
      </w:pPr>
      <w:r>
        <w:t>Have a rollback plan ready</w:t>
      </w:r>
    </w:p>
    <w:p>
      <w:pPr>
        <w:pStyle w:val="Heading2"/>
      </w:pPr>
      <w:r>
        <w:t>9.2 Email Configuration Tips</w:t>
      </w:r>
    </w:p>
    <w:p>
      <w:pPr>
        <w:pStyle w:val="ListBullet"/>
      </w:pPr>
      <w:r>
        <w:t>Always test email after configuration changes</w:t>
      </w:r>
    </w:p>
    <w:p>
      <w:pPr>
        <w:pStyle w:val="ListBullet"/>
      </w:pPr>
      <w:r>
        <w:t>Use dedicated email account for system notifications</w:t>
      </w:r>
    </w:p>
    <w:p>
      <w:pPr>
        <w:pStyle w:val="ListBullet"/>
      </w:pPr>
      <w:r>
        <w:t>Monitor email delivery rates</w:t>
      </w:r>
    </w:p>
    <w:p>
      <w:pPr>
        <w:pStyle w:val="ListBullet"/>
      </w:pPr>
      <w:r>
        <w:t>Set up SPF/DKIM records for deliverability</w:t>
      </w:r>
    </w:p>
    <w:p>
      <w:pPr>
        <w:pStyle w:val="ListBullet"/>
      </w:pPr>
      <w:r>
        <w:t>Consider email rate limits</w:t>
      </w:r>
    </w:p>
    <w:p>
      <w:pPr>
        <w:pStyle w:val="Heading2"/>
      </w:pPr>
      <w:r>
        <w:t>9.3 Security Recommendations</w:t>
      </w:r>
    </w:p>
    <w:p>
      <w:pPr>
        <w:pStyle w:val="ListBullet"/>
      </w:pPr>
      <w:r>
        <w:t>Use strong password policies</w:t>
      </w:r>
    </w:p>
    <w:p>
      <w:pPr>
        <w:pStyle w:val="ListBullet"/>
      </w:pPr>
      <w:r>
        <w:t>Enable account lockout protection</w:t>
      </w:r>
    </w:p>
    <w:p>
      <w:pPr>
        <w:pStyle w:val="ListBullet"/>
      </w:pPr>
      <w:r>
        <w:t>Review security settings quarterly</w:t>
      </w:r>
    </w:p>
    <w:p>
      <w:pPr>
        <w:pStyle w:val="ListBullet"/>
      </w:pPr>
      <w:r>
        <w:t>Monitor failed login attempts</w:t>
      </w:r>
    </w:p>
    <w:p>
      <w:pPr>
        <w:pStyle w:val="ListBullet"/>
      </w:pPr>
      <w:r>
        <w:t>Keep session timeouts reasonable</w:t>
      </w:r>
    </w:p>
    <w:p>
      <w:pPr>
        <w:pStyle w:val="Heading2"/>
      </w:pPr>
      <w:r>
        <w:t>9.4 Troubleshooting Settings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3600"/>
          </w:tcPr>
          <w:p>
            <w:r>
              <w:t>Settings not saving</w:t>
            </w:r>
          </w:p>
        </w:tc>
        <w:tc>
          <w:tcPr>
            <w:tcW w:type="dxa" w:w="5760"/>
          </w:tcPr>
          <w:p>
            <w:r>
              <w:t>Check permissions, refresh page, clear cache</w:t>
            </w:r>
          </w:p>
        </w:tc>
      </w:tr>
      <w:tr>
        <w:tc>
          <w:tcPr>
            <w:tcW w:type="dxa" w:w="3600"/>
          </w:tcPr>
          <w:p>
            <w:r>
              <w:t>Email not sending</w:t>
            </w:r>
          </w:p>
        </w:tc>
        <w:tc>
          <w:tcPr>
            <w:tcW w:type="dxa" w:w="5760"/>
          </w:tcPr>
          <w:p>
            <w:r>
              <w:t>Verify SMTP settings, test connection, check credentials</w:t>
            </w:r>
          </w:p>
        </w:tc>
      </w:tr>
      <w:tr>
        <w:tc>
          <w:tcPr>
            <w:tcW w:type="dxa" w:w="3600"/>
          </w:tcPr>
          <w:p>
            <w:r>
              <w:t>Users locked out unexpectedly</w:t>
            </w:r>
          </w:p>
        </w:tc>
        <w:tc>
          <w:tcPr>
            <w:tcW w:type="dxa" w:w="5760"/>
          </w:tcPr>
          <w:p>
            <w:r>
              <w:t>Review lockout policy, check for brute force attacks</w:t>
            </w:r>
          </w:p>
        </w:tc>
      </w:tr>
      <w:tr>
        <w:tc>
          <w:tcPr>
            <w:tcW w:type="dxa" w:w="3600"/>
          </w:tcPr>
          <w:p>
            <w:r>
              <w:t>Theme not applying</w:t>
            </w:r>
          </w:p>
        </w:tc>
        <w:tc>
          <w:tcPr>
            <w:tcW w:type="dxa" w:w="5760"/>
          </w:tcPr>
          <w:p>
            <w:r>
              <w:t>Clear browser cache, check user preference override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