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56"/>
        </w:rPr>
        <w:t>Settings &amp; Configuration Module</w:t>
      </w:r>
    </w:p>
    <w:p/>
    <w:p>
      <w:pPr>
        <w:jc w:val="center"/>
      </w:pPr>
      <w:r>
        <w:rPr>
          <w:color w:val="666666"/>
          <w:sz w:val="32"/>
        </w:rPr>
        <w:t>User Manual - Console Interface</w:t>
      </w:r>
    </w:p>
    <w:p/>
    <w:p/>
    <w:p/>
    <w:p>
      <w:pPr>
        <w:jc w:val="center"/>
      </w:pPr>
      <w:r>
        <w:rPr>
          <w:color w:val="0066CC"/>
          <w:sz w:val="28"/>
        </w:rPr>
        <w:t>SONARWORKS WORKFLOW SYSTEM</w:t>
      </w:r>
    </w:p>
    <w:p/>
    <w:p>
      <w:pPr>
        <w:jc w:val="center"/>
      </w:pPr>
      <w:r>
        <w:rPr>
          <w:color w:val="808080"/>
          <w:sz w:val="22"/>
        </w:rPr>
        <w:t>Version 1.1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Introduction</w:t>
      </w:r>
    </w:p>
    <w:p>
      <w:r>
        <w:t>2. Accessing Settings</w:t>
      </w:r>
    </w:p>
    <w:p>
      <w:r>
        <w:t>3. System Settings</w:t>
      </w:r>
    </w:p>
    <w:p>
      <w:r>
        <w:t>4. Email Configuration</w:t>
      </w:r>
    </w:p>
    <w:p>
      <w:r>
        <w:t>5. Email Protocol Configuration</w:t>
      </w:r>
    </w:p>
    <w:p>
      <w:r>
        <w:t>6. Workflow Settings</w:t>
      </w:r>
    </w:p>
    <w:p>
      <w:r>
        <w:t>7. Security Settings</w:t>
      </w:r>
    </w:p>
    <w:p>
      <w:r>
        <w:t>8. Notification Settings</w:t>
      </w:r>
    </w:p>
    <w:p>
      <w:r>
        <w:t>9. UI Customization</w:t>
      </w:r>
    </w:p>
    <w:p>
      <w:r>
        <w:t>10. Theme Settings</w:t>
      </w:r>
    </w:p>
    <w:p>
      <w:r>
        <w:t>11. Import/Export</w:t>
      </w:r>
    </w:p>
    <w:p>
      <w:r>
        <w:t>12. Best Practices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rPr>
          <w:b w:val="0"/>
          <w:i w:val="0"/>
        </w:rPr>
        <w:t>The Settings &amp; Configuration module allows administrators to customize system behavior, configure email services, set security policies, and manage various application preferences.</w:t>
      </w:r>
    </w:p>
    <w:p>
      <w:r>
        <w:rPr>
          <w:b/>
          <w:i w:val="0"/>
        </w:rPr>
        <w:t>Configurable Areas:</w:t>
      </w:r>
    </w:p>
    <w:p>
      <w:pPr>
        <w:pStyle w:val="ListBullet"/>
      </w:pPr>
      <w:r>
        <w:t>System-wide settings</w:t>
      </w:r>
    </w:p>
    <w:p>
      <w:pPr>
        <w:pStyle w:val="ListBullet"/>
      </w:pPr>
      <w:r>
        <w:t>Email server configuration (12+ protocols supported)</w:t>
      </w:r>
    </w:p>
    <w:p>
      <w:pPr>
        <w:pStyle w:val="ListBullet"/>
      </w:pPr>
      <w:r>
        <w:t>Workflow behavior settings</w:t>
      </w:r>
    </w:p>
    <w:p>
      <w:pPr>
        <w:pStyle w:val="ListBullet"/>
      </w:pPr>
      <w:r>
        <w:t>Security and authentication settings</w:t>
      </w:r>
    </w:p>
    <w:p>
      <w:pPr>
        <w:pStyle w:val="ListBullet"/>
      </w:pPr>
      <w:r>
        <w:t>Notification preferences</w:t>
      </w:r>
    </w:p>
    <w:p>
      <w:pPr>
        <w:pStyle w:val="ListBullet"/>
      </w:pPr>
      <w:r>
        <w:t>User interface customization</w:t>
      </w:r>
    </w:p>
    <w:p>
      <w:pPr>
        <w:pStyle w:val="ListBullet"/>
      </w:pPr>
      <w:r>
        <w:t>Theme and dark mode settings</w:t>
      </w:r>
    </w:p>
    <w:p>
      <w:pPr>
        <w:pStyle w:val="ListBullet"/>
      </w:pPr>
      <w:r>
        <w:t>Import/Export functionality</w:t>
      </w:r>
    </w:p>
    <w:p>
      <w:pPr>
        <w:ind w:left="360" w:right="360"/>
      </w:pPr>
      <w:r>
        <w:rPr>
          <w:b/>
          <w:color w:val="CC0000"/>
        </w:rPr>
        <w:t xml:space="preserve">WARNING: </w:t>
      </w:r>
      <w:r>
        <w:t>Settings changes may affect all users. Review changes carefully before saving.</w:t>
      </w:r>
    </w:p>
    <w:p>
      <w:pPr>
        <w:jc w:val="center"/>
      </w:pPr>
      <w:r>
        <w:rPr>
          <w:i/>
          <w:color w:val="808080"/>
        </w:rPr>
        <w:t>[Screenshot: Settings Module Overview]</w:t>
      </w:r>
    </w:p>
    <w:p>
      <w:pPr>
        <w:jc w:val="center"/>
      </w:pPr>
      <w:r>
        <w:rPr>
          <w:i/>
          <w:sz w:val="20"/>
        </w:rPr>
        <w:t>Figure: Settings Module Overview</w:t>
      </w:r>
    </w:p>
    <w:p>
      <w:pPr>
        <w:pStyle w:val="Heading1"/>
      </w:pPr>
      <w:r>
        <w:t>2. Accessing Settings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Log in with administrator credentials</w:t>
      </w:r>
    </w:p>
    <w:p>
      <w:r>
        <w:rPr>
          <w:b/>
          <w:color w:val="0066CC"/>
        </w:rPr>
        <w:t xml:space="preserve">Step 2: </w:t>
      </w:r>
      <w:r>
        <w:t>Click 'Administration' in the navigation sidebar</w:t>
      </w:r>
    </w:p>
    <w:p>
      <w:r>
        <w:rPr>
          <w:b/>
          <w:color w:val="0066CC"/>
        </w:rPr>
        <w:t xml:space="preserve">Step 3: </w:t>
      </w:r>
      <w:r>
        <w:t>Click 'Settings' from the sub-menu</w:t>
      </w:r>
    </w:p>
    <w:p>
      <w:r>
        <w:rPr>
          <w:b/>
          <w:color w:val="0066CC"/>
        </w:rPr>
        <w:t xml:space="preserve">Step 4: </w:t>
      </w:r>
      <w:r>
        <w:t>The Settings page displays with tabs or sections</w:t>
      </w:r>
    </w:p>
    <w:p>
      <w:pPr>
        <w:jc w:val="center"/>
      </w:pPr>
      <w:r>
        <w:rPr>
          <w:i/>
          <w:color w:val="808080"/>
        </w:rPr>
        <w:t>[Screenshot: Navigation to Settings]</w:t>
      </w:r>
    </w:p>
    <w:p>
      <w:pPr>
        <w:jc w:val="center"/>
      </w:pPr>
      <w:r>
        <w:rPr>
          <w:i/>
          <w:sz w:val="20"/>
        </w:rPr>
        <w:t>Figure: Navigation to Settings</w:t>
      </w:r>
    </w:p>
    <w:p>
      <w:pPr>
        <w:pStyle w:val="Heading2"/>
      </w:pPr>
      <w:r>
        <w:t>2.1 Settings Tabs</w:t>
      </w:r>
    </w:p>
    <w:p>
      <w:r>
        <w:rPr>
          <w:b w:val="0"/>
          <w:i w:val="0"/>
        </w:rPr>
        <w:t>Settings are organized into the following tabs: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Tab</w:t>
            </w:r>
          </w:p>
        </w:tc>
        <w:tc>
          <w:tcPr>
            <w:tcW w:type="dxa" w:w="648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General</w:t>
            </w:r>
          </w:p>
        </w:tc>
        <w:tc>
          <w:tcPr>
            <w:tcW w:type="dxa" w:w="6480"/>
          </w:tcPr>
          <w:p>
            <w:r>
              <w:t>Basic system settings, name, description</w:t>
            </w:r>
          </w:p>
        </w:tc>
      </w:tr>
      <w:tr>
        <w:tc>
          <w:tcPr>
            <w:tcW w:type="dxa" w:w="2880"/>
          </w:tcPr>
          <w:p>
            <w:r>
              <w:t>Appearance</w:t>
            </w:r>
          </w:p>
        </w:tc>
        <w:tc>
          <w:tcPr>
            <w:tcW w:type="dxa" w:w="6480"/>
          </w:tcPr>
          <w:p>
            <w:r>
              <w:t>Logo, favicon, branding</w:t>
            </w:r>
          </w:p>
        </w:tc>
      </w:tr>
      <w:tr>
        <w:tc>
          <w:tcPr>
            <w:tcW w:type="dxa" w:w="2880"/>
          </w:tcPr>
          <w:p>
            <w:r>
              <w:t>Theme</w:t>
            </w:r>
          </w:p>
        </w:tc>
        <w:tc>
          <w:tcPr>
            <w:tcW w:type="dxa" w:w="6480"/>
          </w:tcPr>
          <w:p>
            <w:r>
              <w:t>Colors, dark mode, UI customization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6480"/>
          </w:tcPr>
          <w:p>
            <w:r>
              <w:t>Password policies, session settings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6480"/>
          </w:tcPr>
          <w:p>
            <w:r>
              <w:t>Email server configuration</w:t>
            </w:r>
          </w:p>
        </w:tc>
      </w:tr>
      <w:tr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6480"/>
          </w:tcPr>
          <w:p>
            <w:r>
              <w:t>Email notification settings</w:t>
            </w:r>
          </w:p>
        </w:tc>
      </w:tr>
      <w:tr>
        <w:tc>
          <w:tcPr>
            <w:tcW w:type="dxa" w:w="2880"/>
          </w:tcPr>
          <w:p>
            <w:r>
              <w:t>Workflow</w:t>
            </w:r>
          </w:p>
        </w:tc>
        <w:tc>
          <w:tcPr>
            <w:tcW w:type="dxa" w:w="6480"/>
          </w:tcPr>
          <w:p>
            <w:r>
              <w:t>Default workflow behaviors</w:t>
            </w:r>
          </w:p>
        </w:tc>
      </w:tr>
      <w:tr>
        <w:tc>
          <w:tcPr>
            <w:tcW w:type="dxa" w:w="2880"/>
          </w:tcPr>
          <w:p>
            <w:r>
              <w:t>Approval</w:t>
            </w:r>
          </w:p>
        </w:tc>
        <w:tc>
          <w:tcPr>
            <w:tcW w:type="dxa" w:w="6480"/>
          </w:tcPr>
          <w:p>
            <w:r>
              <w:t>Approval configuration defaults</w:t>
            </w:r>
          </w:p>
        </w:tc>
      </w:tr>
      <w:tr>
        <w:tc>
          <w:tcPr>
            <w:tcW w:type="dxa" w:w="2880"/>
          </w:tcPr>
          <w:p>
            <w:r>
              <w:t>Reporting</w:t>
            </w:r>
          </w:p>
        </w:tc>
        <w:tc>
          <w:tcPr>
            <w:tcW w:type="dxa" w:w="6480"/>
          </w:tcPr>
          <w:p>
            <w:r>
              <w:t>Report settings and access</w:t>
            </w:r>
          </w:p>
        </w:tc>
      </w:tr>
    </w:tbl>
    <w:p/>
    <w:p>
      <w:pPr>
        <w:pStyle w:val="Heading1"/>
      </w:pPr>
      <w:r>
        <w:t>3. System Settings</w:t>
      </w:r>
    </w:p>
    <w:p>
      <w:pPr>
        <w:pStyle w:val="Heading2"/>
      </w:pPr>
      <w:r>
        <w:t>3.1 General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504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System 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5040"/>
          </w:tcPr>
          <w:p>
            <w:r>
              <w:t>Display name of the application</w:t>
            </w:r>
          </w:p>
        </w:tc>
      </w:tr>
      <w:tr>
        <w:tc>
          <w:tcPr>
            <w:tcW w:type="dxa" w:w="2880"/>
          </w:tcPr>
          <w:p>
            <w:r>
              <w:t>System Logo</w:t>
            </w:r>
          </w:p>
        </w:tc>
        <w:tc>
          <w:tcPr>
            <w:tcW w:type="dxa" w:w="1440"/>
          </w:tcPr>
          <w:p>
            <w:r>
              <w:t>File</w:t>
            </w:r>
          </w:p>
        </w:tc>
        <w:tc>
          <w:tcPr>
            <w:tcW w:type="dxa" w:w="5040"/>
          </w:tcPr>
          <w:p>
            <w:r>
              <w:t>Logo displayed in header</w:t>
            </w:r>
          </w:p>
        </w:tc>
      </w:tr>
      <w:tr>
        <w:tc>
          <w:tcPr>
            <w:tcW w:type="dxa" w:w="2880"/>
          </w:tcPr>
          <w:p>
            <w:r>
              <w:t>Time Zone</w:t>
            </w:r>
          </w:p>
        </w:tc>
        <w:tc>
          <w:tcPr>
            <w:tcW w:type="dxa" w:w="1440"/>
          </w:tcPr>
          <w:p>
            <w:r>
              <w:t>Select</w:t>
            </w:r>
          </w:p>
        </w:tc>
        <w:tc>
          <w:tcPr>
            <w:tcW w:type="dxa" w:w="5040"/>
          </w:tcPr>
          <w:p>
            <w:r>
              <w:t>Default system time zone</w:t>
            </w:r>
          </w:p>
        </w:tc>
      </w:tr>
      <w:tr>
        <w:tc>
          <w:tcPr>
            <w:tcW w:type="dxa" w:w="2880"/>
          </w:tcPr>
          <w:p>
            <w:r>
              <w:t>Date Format</w:t>
            </w:r>
          </w:p>
        </w:tc>
        <w:tc>
          <w:tcPr>
            <w:tcW w:type="dxa" w:w="1440"/>
          </w:tcPr>
          <w:p>
            <w:r>
              <w:t>Select</w:t>
            </w:r>
          </w:p>
        </w:tc>
        <w:tc>
          <w:tcPr>
            <w:tcW w:type="dxa" w:w="5040"/>
          </w:tcPr>
          <w:p>
            <w:r>
              <w:t>Format for displaying dates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1440"/>
          </w:tcPr>
          <w:p>
            <w:r>
              <w:t>Select</w:t>
            </w:r>
          </w:p>
        </w:tc>
        <w:tc>
          <w:tcPr>
            <w:tcW w:type="dxa" w:w="5040"/>
          </w:tcPr>
          <w:p>
            <w:r>
              <w:t>Default system language</w:t>
            </w:r>
          </w:p>
        </w:tc>
      </w:tr>
      <w:tr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Select</w:t>
            </w:r>
          </w:p>
        </w:tc>
        <w:tc>
          <w:tcPr>
            <w:tcW w:type="dxa" w:w="5040"/>
          </w:tcPr>
          <w:p>
            <w:r>
              <w:t>Default currency for financial fields</w:t>
            </w:r>
          </w:p>
        </w:tc>
      </w:tr>
    </w:tbl>
    <w:p/>
    <w:p>
      <w:pPr>
        <w:pStyle w:val="Heading2"/>
      </w:pPr>
      <w:r>
        <w:t>3.2 Changing System Settings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Navigate to the Settings page</w:t>
      </w:r>
    </w:p>
    <w:p>
      <w:r>
        <w:rPr>
          <w:b/>
          <w:color w:val="0066CC"/>
        </w:rPr>
        <w:t xml:space="preserve">Step 2: </w:t>
      </w:r>
      <w:r>
        <w:t>Locate the setting you want to change</w:t>
      </w:r>
    </w:p>
    <w:p>
      <w:r>
        <w:rPr>
          <w:b/>
          <w:color w:val="0066CC"/>
        </w:rPr>
        <w:t xml:space="preserve">Step 3: </w:t>
      </w:r>
      <w:r>
        <w:t>Enter the new value</w:t>
      </w:r>
    </w:p>
    <w:p>
      <w:r>
        <w:rPr>
          <w:b/>
          <w:color w:val="0066CC"/>
        </w:rPr>
        <w:t xml:space="preserve">Step 4: </w:t>
      </w:r>
      <w:r>
        <w:t>Click 'Save' or 'Apply' button</w:t>
      </w:r>
    </w:p>
    <w:p>
      <w:r>
        <w:rPr>
          <w:b/>
          <w:color w:val="0066CC"/>
        </w:rPr>
        <w:t xml:space="preserve">Step 5: </w:t>
      </w:r>
      <w:r>
        <w:t>Settings take effect immediately (some may require refresh)</w:t>
      </w:r>
    </w:p>
    <w:p>
      <w:pPr>
        <w:jc w:val="center"/>
      </w:pPr>
      <w:r>
        <w:rPr>
          <w:i/>
          <w:color w:val="808080"/>
        </w:rPr>
        <w:t>[Screenshot: System Settings Panel]</w:t>
      </w:r>
    </w:p>
    <w:p>
      <w:pPr>
        <w:jc w:val="center"/>
      </w:pPr>
      <w:r>
        <w:rPr>
          <w:i/>
          <w:sz w:val="20"/>
        </w:rPr>
        <w:t>Figure: System Settings Panel</w:t>
      </w:r>
    </w:p>
    <w:p>
      <w:pPr>
        <w:pStyle w:val="Heading2"/>
      </w:pPr>
      <w:r>
        <w:t>3.3 Session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Session Timeout</w:t>
            </w:r>
          </w:p>
        </w:tc>
        <w:tc>
          <w:tcPr>
            <w:tcW w:type="dxa" w:w="2160"/>
          </w:tcPr>
          <w:p>
            <w:r>
              <w:t>30 minutes</w:t>
            </w:r>
          </w:p>
        </w:tc>
        <w:tc>
          <w:tcPr>
            <w:tcW w:type="dxa" w:w="4320"/>
          </w:tcPr>
          <w:p>
            <w:r>
              <w:t>Idle time before automatic logout</w:t>
            </w:r>
          </w:p>
        </w:tc>
      </w:tr>
      <w:tr>
        <w:tc>
          <w:tcPr>
            <w:tcW w:type="dxa" w:w="2880"/>
          </w:tcPr>
          <w:p>
            <w:r>
              <w:t>Remember Me Duration</w:t>
            </w:r>
          </w:p>
        </w:tc>
        <w:tc>
          <w:tcPr>
            <w:tcW w:type="dxa" w:w="2160"/>
          </w:tcPr>
          <w:p>
            <w:r>
              <w:t>7 days</w:t>
            </w:r>
          </w:p>
        </w:tc>
        <w:tc>
          <w:tcPr>
            <w:tcW w:type="dxa" w:w="4320"/>
          </w:tcPr>
          <w:p>
            <w:r>
              <w:t>Extended session when 'Remember Me' checked</w:t>
            </w:r>
          </w:p>
        </w:tc>
      </w:tr>
      <w:tr>
        <w:tc>
          <w:tcPr>
            <w:tcW w:type="dxa" w:w="2880"/>
          </w:tcPr>
          <w:p>
            <w:r>
              <w:t>Concurrent Sessions</w:t>
            </w:r>
          </w:p>
        </w:tc>
        <w:tc>
          <w:tcPr>
            <w:tcW w:type="dxa" w:w="2160"/>
          </w:tcPr>
          <w:p>
            <w:r>
              <w:t>Allowed</w:t>
            </w:r>
          </w:p>
        </w:tc>
        <w:tc>
          <w:tcPr>
            <w:tcW w:type="dxa" w:w="4320"/>
          </w:tcPr>
          <w:p>
            <w:r>
              <w:t>Whether user can have multiple active sessions</w:t>
            </w:r>
          </w:p>
        </w:tc>
      </w:tr>
    </w:tbl>
    <w:p/>
    <w:p>
      <w:pPr>
        <w:pStyle w:val="Heading1"/>
      </w:pPr>
      <w:r>
        <w:t>4. Email Configuration</w:t>
      </w:r>
    </w:p>
    <w:p>
      <w:r>
        <w:rPr>
          <w:b w:val="0"/>
          <w:i w:val="0"/>
        </w:rPr>
        <w:t>Email configuration is essential for system notifications, approval alerts, and password reset functionality. The system supports 12+ email protocols.</w:t>
      </w:r>
    </w:p>
    <w:p>
      <w:pPr>
        <w:pStyle w:val="Heading2"/>
      </w:pPr>
      <w:r>
        <w:t>4.1 Supported Email Protocols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Protocol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Use Case</w:t>
            </w:r>
          </w:p>
        </w:tc>
      </w:tr>
      <w:tr>
        <w:tc>
          <w:tcPr>
            <w:tcW w:type="dxa" w:w="2880"/>
          </w:tcPr>
          <w:p>
            <w:r>
              <w:t>SMTP</w:t>
            </w:r>
          </w:p>
        </w:tc>
        <w:tc>
          <w:tcPr>
            <w:tcW w:type="dxa" w:w="2880"/>
          </w:tcPr>
          <w:p>
            <w:r>
              <w:t>Generic SMTP server</w:t>
            </w:r>
          </w:p>
        </w:tc>
        <w:tc>
          <w:tcPr>
            <w:tcW w:type="dxa" w:w="3600"/>
          </w:tcPr>
          <w:p>
            <w:r>
              <w:t>Any standard mail server</w:t>
            </w:r>
          </w:p>
        </w:tc>
      </w:tr>
      <w:tr>
        <w:tc>
          <w:tcPr>
            <w:tcW w:type="dxa" w:w="2880"/>
          </w:tcPr>
          <w:p>
            <w:r>
              <w:t>SMTP_GMAIL</w:t>
            </w:r>
          </w:p>
        </w:tc>
        <w:tc>
          <w:tcPr>
            <w:tcW w:type="dxa" w:w="2880"/>
          </w:tcPr>
          <w:p>
            <w:r>
              <w:t>Gmail SMTP</w:t>
            </w:r>
          </w:p>
        </w:tc>
        <w:tc>
          <w:tcPr>
            <w:tcW w:type="dxa" w:w="3600"/>
          </w:tcPr>
          <w:p>
            <w:r>
              <w:t>Gmail accounts</w:t>
            </w:r>
          </w:p>
        </w:tc>
      </w:tr>
      <w:tr>
        <w:tc>
          <w:tcPr>
            <w:tcW w:type="dxa" w:w="2880"/>
          </w:tcPr>
          <w:p>
            <w:r>
              <w:t>SMTP_OUTLOOK</w:t>
            </w:r>
          </w:p>
        </w:tc>
        <w:tc>
          <w:tcPr>
            <w:tcW w:type="dxa" w:w="2880"/>
          </w:tcPr>
          <w:p>
            <w:r>
              <w:t>Outlook.com SMTP</w:t>
            </w:r>
          </w:p>
        </w:tc>
        <w:tc>
          <w:tcPr>
            <w:tcW w:type="dxa" w:w="3600"/>
          </w:tcPr>
          <w:p>
            <w:r>
              <w:t>Personal Outlook accounts</w:t>
            </w:r>
          </w:p>
        </w:tc>
      </w:tr>
      <w:tr>
        <w:tc>
          <w:tcPr>
            <w:tcW w:type="dxa" w:w="2880"/>
          </w:tcPr>
          <w:p>
            <w:r>
              <w:t>SMTP_OFFICE365</w:t>
            </w:r>
          </w:p>
        </w:tc>
        <w:tc>
          <w:tcPr>
            <w:tcW w:type="dxa" w:w="2880"/>
          </w:tcPr>
          <w:p>
            <w:r>
              <w:t>Office 365 SMTP</w:t>
            </w:r>
          </w:p>
        </w:tc>
        <w:tc>
          <w:tcPr>
            <w:tcW w:type="dxa" w:w="3600"/>
          </w:tcPr>
          <w:p>
            <w:r>
              <w:t>Microsoft 365 business</w:t>
            </w:r>
          </w:p>
        </w:tc>
      </w:tr>
      <w:tr>
        <w:tc>
          <w:tcPr>
            <w:tcW w:type="dxa" w:w="2880"/>
          </w:tcPr>
          <w:p>
            <w:r>
              <w:t>SMTP_YAHOO</w:t>
            </w:r>
          </w:p>
        </w:tc>
        <w:tc>
          <w:tcPr>
            <w:tcW w:type="dxa" w:w="2880"/>
          </w:tcPr>
          <w:p>
            <w:r>
              <w:t>Yahoo SMTP</w:t>
            </w:r>
          </w:p>
        </w:tc>
        <w:tc>
          <w:tcPr>
            <w:tcW w:type="dxa" w:w="3600"/>
          </w:tcPr>
          <w:p>
            <w:r>
              <w:t>Yahoo mail accounts</w:t>
            </w:r>
          </w:p>
        </w:tc>
      </w:tr>
      <w:tr>
        <w:tc>
          <w:tcPr>
            <w:tcW w:type="dxa" w:w="2880"/>
          </w:tcPr>
          <w:p>
            <w:r>
              <w:t>SMTP_EXCHANGE</w:t>
            </w:r>
          </w:p>
        </w:tc>
        <w:tc>
          <w:tcPr>
            <w:tcW w:type="dxa" w:w="2880"/>
          </w:tcPr>
          <w:p>
            <w:r>
              <w:t>Exchange Server SMTP</w:t>
            </w:r>
          </w:p>
        </w:tc>
        <w:tc>
          <w:tcPr>
            <w:tcW w:type="dxa" w:w="3600"/>
          </w:tcPr>
          <w:p>
            <w:r>
              <w:t>On-premise Exchange</w:t>
            </w:r>
          </w:p>
        </w:tc>
      </w:tr>
      <w:tr>
        <w:tc>
          <w:tcPr>
            <w:tcW w:type="dxa" w:w="2880"/>
          </w:tcPr>
          <w:p>
            <w:r>
              <w:t>MICROSOFT_GRAPH</w:t>
            </w:r>
          </w:p>
        </w:tc>
        <w:tc>
          <w:tcPr>
            <w:tcW w:type="dxa" w:w="2880"/>
          </w:tcPr>
          <w:p>
            <w:r>
              <w:t>Microsoft Graph API</w:t>
            </w:r>
          </w:p>
        </w:tc>
        <w:tc>
          <w:tcPr>
            <w:tcW w:type="dxa" w:w="3600"/>
          </w:tcPr>
          <w:p>
            <w:r>
              <w:t>Modern Microsoft 365</w:t>
            </w:r>
          </w:p>
        </w:tc>
      </w:tr>
      <w:tr>
        <w:tc>
          <w:tcPr>
            <w:tcW w:type="dxa" w:w="2880"/>
          </w:tcPr>
          <w:p>
            <w:r>
              <w:t>GMAIL_API</w:t>
            </w:r>
          </w:p>
        </w:tc>
        <w:tc>
          <w:tcPr>
            <w:tcW w:type="dxa" w:w="2880"/>
          </w:tcPr>
          <w:p>
            <w:r>
              <w:t>Gmail API</w:t>
            </w:r>
          </w:p>
        </w:tc>
        <w:tc>
          <w:tcPr>
            <w:tcW w:type="dxa" w:w="3600"/>
          </w:tcPr>
          <w:p>
            <w:r>
              <w:t>Google Workspace</w:t>
            </w:r>
          </w:p>
        </w:tc>
      </w:tr>
      <w:tr>
        <w:tc>
          <w:tcPr>
            <w:tcW w:type="dxa" w:w="2880"/>
          </w:tcPr>
          <w:p>
            <w:r>
              <w:t>EXCHANGE_EWS</w:t>
            </w:r>
          </w:p>
        </w:tc>
        <w:tc>
          <w:tcPr>
            <w:tcW w:type="dxa" w:w="2880"/>
          </w:tcPr>
          <w:p>
            <w:r>
              <w:t>Exchange Web Services</w:t>
            </w:r>
          </w:p>
        </w:tc>
        <w:tc>
          <w:tcPr>
            <w:tcW w:type="dxa" w:w="3600"/>
          </w:tcPr>
          <w:p>
            <w:r>
              <w:t>Legacy Exchange</w:t>
            </w:r>
          </w:p>
        </w:tc>
      </w:tr>
      <w:tr>
        <w:tc>
          <w:tcPr>
            <w:tcW w:type="dxa" w:w="2880"/>
          </w:tcPr>
          <w:p>
            <w:r>
              <w:t>SENDGRID</w:t>
            </w:r>
          </w:p>
        </w:tc>
        <w:tc>
          <w:tcPr>
            <w:tcW w:type="dxa" w:w="2880"/>
          </w:tcPr>
          <w:p>
            <w:r>
              <w:t>SendGrid API</w:t>
            </w:r>
          </w:p>
        </w:tc>
        <w:tc>
          <w:tcPr>
            <w:tcW w:type="dxa" w:w="3600"/>
          </w:tcPr>
          <w:p>
            <w:r>
              <w:t>Transactional email</w:t>
            </w:r>
          </w:p>
        </w:tc>
      </w:tr>
      <w:tr>
        <w:tc>
          <w:tcPr>
            <w:tcW w:type="dxa" w:w="2880"/>
          </w:tcPr>
          <w:p>
            <w:r>
              <w:t>MAILGUN</w:t>
            </w:r>
          </w:p>
        </w:tc>
        <w:tc>
          <w:tcPr>
            <w:tcW w:type="dxa" w:w="2880"/>
          </w:tcPr>
          <w:p>
            <w:r>
              <w:t>Mailgun API</w:t>
            </w:r>
          </w:p>
        </w:tc>
        <w:tc>
          <w:tcPr>
            <w:tcW w:type="dxa" w:w="3600"/>
          </w:tcPr>
          <w:p>
            <w:r>
              <w:t>Bulk email service</w:t>
            </w:r>
          </w:p>
        </w:tc>
      </w:tr>
      <w:tr>
        <w:tc>
          <w:tcPr>
            <w:tcW w:type="dxa" w:w="2880"/>
          </w:tcPr>
          <w:p>
            <w:r>
              <w:t>AWS_SES</w:t>
            </w:r>
          </w:p>
        </w:tc>
        <w:tc>
          <w:tcPr>
            <w:tcW w:type="dxa" w:w="2880"/>
          </w:tcPr>
          <w:p>
            <w:r>
              <w:t>Amazon Simple Email Service</w:t>
            </w:r>
          </w:p>
        </w:tc>
        <w:tc>
          <w:tcPr>
            <w:tcW w:type="dxa" w:w="3600"/>
          </w:tcPr>
          <w:p>
            <w:r>
              <w:t>AWS infrastructure</w:t>
            </w:r>
          </w:p>
        </w:tc>
      </w:tr>
    </w:tbl>
    <w:p/>
    <w:p>
      <w:pPr>
        <w:pStyle w:val="Heading2"/>
      </w:pPr>
      <w:r>
        <w:t>4.2 Common SMTP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1152"/>
            <w:shd w:fill="003366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3168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t>SMTP Host</w:t>
            </w:r>
          </w:p>
        </w:tc>
        <w:tc>
          <w:tcPr>
            <w:tcW w:type="dxa" w:w="1152"/>
          </w:tcPr>
          <w:p>
            <w:r>
              <w:t>Yes</w:t>
            </w:r>
          </w:p>
        </w:tc>
        <w:tc>
          <w:tcPr>
            <w:tcW w:type="dxa" w:w="3168"/>
          </w:tcPr>
          <w:p>
            <w:r>
              <w:t>Mail server hostname</w:t>
            </w:r>
          </w:p>
        </w:tc>
        <w:tc>
          <w:tcPr>
            <w:tcW w:type="dxa" w:w="2880"/>
          </w:tcPr>
          <w:p>
            <w:r>
              <w:t>smtp.company.com</w:t>
            </w:r>
          </w:p>
        </w:tc>
      </w:tr>
      <w:tr>
        <w:tc>
          <w:tcPr>
            <w:tcW w:type="dxa" w:w="2160"/>
          </w:tcPr>
          <w:p>
            <w:r>
              <w:t>SMTP Port</w:t>
            </w:r>
          </w:p>
        </w:tc>
        <w:tc>
          <w:tcPr>
            <w:tcW w:type="dxa" w:w="1152"/>
          </w:tcPr>
          <w:p>
            <w:r>
              <w:t>Yes</w:t>
            </w:r>
          </w:p>
        </w:tc>
        <w:tc>
          <w:tcPr>
            <w:tcW w:type="dxa" w:w="3168"/>
          </w:tcPr>
          <w:p>
            <w:r>
              <w:t>Mail server port</w:t>
            </w:r>
          </w:p>
        </w:tc>
        <w:tc>
          <w:tcPr>
            <w:tcW w:type="dxa" w:w="2880"/>
          </w:tcPr>
          <w:p>
            <w:r>
              <w:t>587</w:t>
            </w:r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1152"/>
          </w:tcPr>
          <w:p>
            <w:r>
              <w:t>Yes</w:t>
            </w:r>
          </w:p>
        </w:tc>
        <w:tc>
          <w:tcPr>
            <w:tcW w:type="dxa" w:w="3168"/>
          </w:tcPr>
          <w:p>
            <w:r>
              <w:t>TLS, SSL, or None</w:t>
            </w:r>
          </w:p>
        </w:tc>
        <w:tc>
          <w:tcPr>
            <w:tcW w:type="dxa" w:w="2880"/>
          </w:tcPr>
          <w:p>
            <w:r>
              <w:t>TLS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1152"/>
          </w:tcPr>
          <w:p>
            <w:r>
              <w:t>Yes</w:t>
            </w:r>
          </w:p>
        </w:tc>
        <w:tc>
          <w:tcPr>
            <w:tcW w:type="dxa" w:w="3168"/>
          </w:tcPr>
          <w:p>
            <w:r>
              <w:t>Authentication username</w:t>
            </w:r>
          </w:p>
        </w:tc>
        <w:tc>
          <w:tcPr>
            <w:tcW w:type="dxa" w:w="2880"/>
          </w:tcPr>
          <w:p>
            <w:r>
              <w:t>workflow@company.com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1152"/>
          </w:tcPr>
          <w:p>
            <w:r>
              <w:t>Yes</w:t>
            </w:r>
          </w:p>
        </w:tc>
        <w:tc>
          <w:tcPr>
            <w:tcW w:type="dxa" w:w="3168"/>
          </w:tcPr>
          <w:p>
            <w:r>
              <w:t>Authentication password</w:t>
            </w:r>
          </w:p>
        </w:tc>
        <w:tc>
          <w:tcPr>
            <w:tcW w:type="dxa" w:w="2880"/>
          </w:tcPr>
          <w:p>
            <w:r>
              <w:t>********</w:t>
            </w:r>
          </w:p>
        </w:tc>
      </w:tr>
      <w:tr>
        <w:tc>
          <w:tcPr>
            <w:tcW w:type="dxa" w:w="2160"/>
          </w:tcPr>
          <w:p>
            <w:r>
              <w:t>Sender Email</w:t>
            </w:r>
          </w:p>
        </w:tc>
        <w:tc>
          <w:tcPr>
            <w:tcW w:type="dxa" w:w="1152"/>
          </w:tcPr>
          <w:p>
            <w:r>
              <w:t>Yes</w:t>
            </w:r>
          </w:p>
        </w:tc>
        <w:tc>
          <w:tcPr>
            <w:tcW w:type="dxa" w:w="3168"/>
          </w:tcPr>
          <w:p>
            <w:r>
              <w:t>From email address</w:t>
            </w:r>
          </w:p>
        </w:tc>
        <w:tc>
          <w:tcPr>
            <w:tcW w:type="dxa" w:w="2880"/>
          </w:tcPr>
          <w:p>
            <w:r>
              <w:t>noreply@company.com</w:t>
            </w:r>
          </w:p>
        </w:tc>
      </w:tr>
      <w:tr>
        <w:tc>
          <w:tcPr>
            <w:tcW w:type="dxa" w:w="2160"/>
          </w:tcPr>
          <w:p>
            <w:r>
              <w:t>Sender Name</w:t>
            </w:r>
          </w:p>
        </w:tc>
        <w:tc>
          <w:tcPr>
            <w:tcW w:type="dxa" w:w="1152"/>
          </w:tcPr>
          <w:p>
            <w:r>
              <w:t>Yes</w:t>
            </w:r>
          </w:p>
        </w:tc>
        <w:tc>
          <w:tcPr>
            <w:tcW w:type="dxa" w:w="3168"/>
          </w:tcPr>
          <w:p>
            <w:r>
              <w:t>From display name</w:t>
            </w:r>
          </w:p>
        </w:tc>
        <w:tc>
          <w:tcPr>
            <w:tcW w:type="dxa" w:w="2880"/>
          </w:tcPr>
          <w:p>
            <w:r>
              <w:t>Workflow System</w:t>
            </w:r>
          </w:p>
        </w:tc>
      </w:tr>
      <w:tr>
        <w:tc>
          <w:tcPr>
            <w:tcW w:type="dxa" w:w="2160"/>
          </w:tcPr>
          <w:p>
            <w:r>
              <w:t>Reply-To</w:t>
            </w:r>
          </w:p>
        </w:tc>
        <w:tc>
          <w:tcPr>
            <w:tcW w:type="dxa" w:w="1152"/>
          </w:tcPr>
          <w:p>
            <w:r>
              <w:t>No</w:t>
            </w:r>
          </w:p>
        </w:tc>
        <w:tc>
          <w:tcPr>
            <w:tcW w:type="dxa" w:w="3168"/>
          </w:tcPr>
          <w:p>
            <w:r>
              <w:t>Reply-to address</w:t>
            </w:r>
          </w:p>
        </w:tc>
        <w:tc>
          <w:tcPr>
            <w:tcW w:type="dxa" w:w="2880"/>
          </w:tcPr>
          <w:p>
            <w:r>
              <w:t>support@company.com</w:t>
            </w:r>
          </w:p>
        </w:tc>
      </w:tr>
    </w:tbl>
    <w:p/>
    <w:p>
      <w:pPr>
        <w:jc w:val="center"/>
      </w:pPr>
      <w:r>
        <w:rPr>
          <w:i/>
          <w:color w:val="808080"/>
        </w:rPr>
        <w:t>[Screenshot: Email Configuration Form]</w:t>
      </w:r>
    </w:p>
    <w:p>
      <w:pPr>
        <w:jc w:val="center"/>
      </w:pPr>
      <w:r>
        <w:rPr>
          <w:i/>
          <w:sz w:val="20"/>
        </w:rPr>
        <w:t>Figure: Email Configuration Form</w:t>
      </w:r>
    </w:p>
    <w:p>
      <w:pPr>
        <w:pStyle w:val="Heading2"/>
      </w:pPr>
      <w:r>
        <w:t>4.3 Configuring Email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Navigate to Settings &gt; Email tab</w:t>
      </w:r>
    </w:p>
    <w:p>
      <w:r>
        <w:rPr>
          <w:b/>
          <w:color w:val="0066CC"/>
        </w:rPr>
        <w:t xml:space="preserve">Step 2: </w:t>
      </w:r>
      <w:r>
        <w:t>Select your email protocol from the dropdown</w:t>
      </w:r>
    </w:p>
    <w:p>
      <w:r>
        <w:rPr>
          <w:b/>
          <w:color w:val="0066CC"/>
        </w:rPr>
        <w:t xml:space="preserve">Step 3: </w:t>
      </w:r>
      <w:r>
        <w:t>Enter protocol-specific configuration</w:t>
      </w:r>
    </w:p>
    <w:p>
      <w:r>
        <w:rPr>
          <w:b/>
          <w:color w:val="0066CC"/>
        </w:rPr>
        <w:t xml:space="preserve">Step 4: </w:t>
      </w:r>
      <w:r>
        <w:t>Enter sender email and name</w:t>
      </w:r>
    </w:p>
    <w:p>
      <w:r>
        <w:rPr>
          <w:b/>
          <w:color w:val="0066CC"/>
        </w:rPr>
        <w:t xml:space="preserve">Step 5: </w:t>
      </w:r>
      <w:r>
        <w:t>Click 'Save' to store configuration</w:t>
      </w:r>
    </w:p>
    <w:p>
      <w:r>
        <w:rPr>
          <w:b/>
          <w:color w:val="0066CC"/>
        </w:rPr>
        <w:t xml:space="preserve">Step 6: </w:t>
      </w:r>
      <w:r>
        <w:t>Click 'Test Email' to verify settings</w:t>
      </w:r>
    </w:p>
    <w:p>
      <w:pPr>
        <w:pStyle w:val="Heading2"/>
      </w:pPr>
      <w:r>
        <w:t>4.4 Testing Email Configuration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After saving email settings, click 'Test Email' button</w:t>
      </w:r>
    </w:p>
    <w:p>
      <w:r>
        <w:rPr>
          <w:b/>
          <w:color w:val="0066CC"/>
        </w:rPr>
        <w:t xml:space="preserve">Step 2: </w:t>
      </w:r>
      <w:r>
        <w:t>Enter a test recipient email address</w:t>
      </w:r>
    </w:p>
    <w:p>
      <w:r>
        <w:rPr>
          <w:b/>
          <w:color w:val="0066CC"/>
        </w:rPr>
        <w:t xml:space="preserve">Step 3: </w:t>
      </w:r>
      <w:r>
        <w:t>Click 'Send Test'</w:t>
      </w:r>
    </w:p>
    <w:p>
      <w:r>
        <w:rPr>
          <w:b/>
          <w:color w:val="0066CC"/>
        </w:rPr>
        <w:t xml:space="preserve">Step 4: </w:t>
      </w:r>
      <w:r>
        <w:t>Check the recipient inbox for the test email</w:t>
      </w:r>
    </w:p>
    <w:p>
      <w:r>
        <w:rPr>
          <w:b/>
          <w:color w:val="0066CC"/>
        </w:rPr>
        <w:t xml:space="preserve">Step 5: </w:t>
      </w:r>
      <w:r>
        <w:t>Verify the email arrived and looks correct</w:t>
      </w:r>
    </w:p>
    <w:p>
      <w:pPr>
        <w:ind w:left="360" w:right="360"/>
      </w:pPr>
      <w:r>
        <w:rPr>
          <w:b/>
          <w:color w:val="009900"/>
        </w:rPr>
        <w:t xml:space="preserve">TIP: </w:t>
      </w:r>
      <w:r>
        <w:t>If test email fails, check SMTP settings, firewall rules, and authentication credentials.</w:t>
      </w:r>
    </w:p>
    <w:p>
      <w:pPr>
        <w:pStyle w:val="Heading1"/>
      </w:pPr>
      <w:r>
        <w:t>5. Email Protocol Configuration</w:t>
      </w:r>
    </w:p>
    <w:p>
      <w:pPr>
        <w:pStyle w:val="Heading2"/>
      </w:pPr>
      <w:r>
        <w:t>5.1 Standard SMTP Configuration</w:t>
      </w:r>
    </w:p>
    <w:p>
      <w:r>
        <w:rPr>
          <w:b w:val="0"/>
          <w:i w:val="0"/>
        </w:rPr>
        <w:t>For generic SMTP, Gmail, Outlook, Yahoo, or Office 365: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Provider</w:t>
            </w:r>
          </w:p>
        </w:tc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SMTP Host</w:t>
            </w:r>
          </w:p>
        </w:tc>
        <w:tc>
          <w:tcPr>
            <w:tcW w:type="dxa" w:w="1152"/>
            <w:shd w:fill="003366"/>
          </w:tcPr>
          <w:p>
            <w:r>
              <w:rPr>
                <w:b/>
                <w:color w:val="FFFFFF"/>
              </w:rPr>
              <w:t>Port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Security</w:t>
            </w:r>
          </w:p>
        </w:tc>
      </w:tr>
      <w:tr>
        <w:tc>
          <w:tcPr>
            <w:tcW w:type="dxa" w:w="2880"/>
          </w:tcPr>
          <w:p>
            <w:r>
              <w:t>Microsoft 365</w:t>
            </w:r>
          </w:p>
        </w:tc>
        <w:tc>
          <w:tcPr>
            <w:tcW w:type="dxa" w:w="3600"/>
          </w:tcPr>
          <w:p>
            <w:r>
              <w:t>smtp.office365.com</w:t>
            </w:r>
          </w:p>
        </w:tc>
        <w:tc>
          <w:tcPr>
            <w:tcW w:type="dxa" w:w="1152"/>
          </w:tcPr>
          <w:p>
            <w:r>
              <w:t>587</w:t>
            </w:r>
          </w:p>
        </w:tc>
        <w:tc>
          <w:tcPr>
            <w:tcW w:type="dxa" w:w="1728"/>
          </w:tcPr>
          <w:p>
            <w:r>
              <w:t>TLS</w:t>
            </w:r>
          </w:p>
        </w:tc>
      </w:tr>
      <w:tr>
        <w:tc>
          <w:tcPr>
            <w:tcW w:type="dxa" w:w="2880"/>
          </w:tcPr>
          <w:p>
            <w:r>
              <w:t>Gmail</w:t>
            </w:r>
          </w:p>
        </w:tc>
        <w:tc>
          <w:tcPr>
            <w:tcW w:type="dxa" w:w="3600"/>
          </w:tcPr>
          <w:p>
            <w:r>
              <w:t>smtp.gmail.com</w:t>
            </w:r>
          </w:p>
        </w:tc>
        <w:tc>
          <w:tcPr>
            <w:tcW w:type="dxa" w:w="1152"/>
          </w:tcPr>
          <w:p>
            <w:r>
              <w:t>587</w:t>
            </w:r>
          </w:p>
        </w:tc>
        <w:tc>
          <w:tcPr>
            <w:tcW w:type="dxa" w:w="1728"/>
          </w:tcPr>
          <w:p>
            <w:r>
              <w:t>TLS</w:t>
            </w:r>
          </w:p>
        </w:tc>
      </w:tr>
      <w:tr>
        <w:tc>
          <w:tcPr>
            <w:tcW w:type="dxa" w:w="2880"/>
          </w:tcPr>
          <w:p>
            <w:r>
              <w:t>Outlook.com</w:t>
            </w:r>
          </w:p>
        </w:tc>
        <w:tc>
          <w:tcPr>
            <w:tcW w:type="dxa" w:w="3600"/>
          </w:tcPr>
          <w:p>
            <w:r>
              <w:t>smtp-mail.outlook.com</w:t>
            </w:r>
          </w:p>
        </w:tc>
        <w:tc>
          <w:tcPr>
            <w:tcW w:type="dxa" w:w="1152"/>
          </w:tcPr>
          <w:p>
            <w:r>
              <w:t>587</w:t>
            </w:r>
          </w:p>
        </w:tc>
        <w:tc>
          <w:tcPr>
            <w:tcW w:type="dxa" w:w="1728"/>
          </w:tcPr>
          <w:p>
            <w:r>
              <w:t>TLS</w:t>
            </w:r>
          </w:p>
        </w:tc>
      </w:tr>
      <w:tr>
        <w:tc>
          <w:tcPr>
            <w:tcW w:type="dxa" w:w="2880"/>
          </w:tcPr>
          <w:p>
            <w:r>
              <w:t>Yahoo</w:t>
            </w:r>
          </w:p>
        </w:tc>
        <w:tc>
          <w:tcPr>
            <w:tcW w:type="dxa" w:w="3600"/>
          </w:tcPr>
          <w:p>
            <w:r>
              <w:t>smtp.mail.yahoo.com</w:t>
            </w:r>
          </w:p>
        </w:tc>
        <w:tc>
          <w:tcPr>
            <w:tcW w:type="dxa" w:w="1152"/>
          </w:tcPr>
          <w:p>
            <w:r>
              <w:t>587</w:t>
            </w:r>
          </w:p>
        </w:tc>
        <w:tc>
          <w:tcPr>
            <w:tcW w:type="dxa" w:w="1728"/>
          </w:tcPr>
          <w:p>
            <w:r>
              <w:t>TLS</w:t>
            </w:r>
          </w:p>
        </w:tc>
      </w:tr>
      <w:tr>
        <w:tc>
          <w:tcPr>
            <w:tcW w:type="dxa" w:w="2880"/>
          </w:tcPr>
          <w:p>
            <w:r>
              <w:t>Exchange On-Premise</w:t>
            </w:r>
          </w:p>
        </w:tc>
        <w:tc>
          <w:tcPr>
            <w:tcW w:type="dxa" w:w="3600"/>
          </w:tcPr>
          <w:p>
            <w:r>
              <w:t>mail.yourcompany.com</w:t>
            </w:r>
          </w:p>
        </w:tc>
        <w:tc>
          <w:tcPr>
            <w:tcW w:type="dxa" w:w="1152"/>
          </w:tcPr>
          <w:p>
            <w:r>
              <w:t>587</w:t>
            </w:r>
          </w:p>
        </w:tc>
        <w:tc>
          <w:tcPr>
            <w:tcW w:type="dxa" w:w="1728"/>
          </w:tcPr>
          <w:p>
            <w:r>
              <w:t>TLS</w:t>
            </w:r>
          </w:p>
        </w:tc>
      </w:tr>
      <w:tr>
        <w:tc>
          <w:tcPr>
            <w:tcW w:type="dxa" w:w="2880"/>
          </w:tcPr>
          <w:p>
            <w:r>
              <w:t>Custom Server</w:t>
            </w:r>
          </w:p>
        </w:tc>
        <w:tc>
          <w:tcPr>
            <w:tcW w:type="dxa" w:w="3600"/>
          </w:tcPr>
          <w:p>
            <w:r>
              <w:t>smtp.yourserver.com</w:t>
            </w:r>
          </w:p>
        </w:tc>
        <w:tc>
          <w:tcPr>
            <w:tcW w:type="dxa" w:w="1152"/>
          </w:tcPr>
          <w:p>
            <w:r>
              <w:t>25/587/465</w:t>
            </w:r>
          </w:p>
        </w:tc>
        <w:tc>
          <w:tcPr>
            <w:tcW w:type="dxa" w:w="1728"/>
          </w:tcPr>
          <w:p>
            <w:r>
              <w:t>Varies</w:t>
            </w:r>
          </w:p>
        </w:tc>
      </w:tr>
    </w:tbl>
    <w:p/>
    <w:p>
      <w:pPr>
        <w:pStyle w:val="Heading2"/>
      </w:pPr>
      <w:r>
        <w:t>5.2 Microsoft Graph API Configuration</w:t>
      </w:r>
    </w:p>
    <w:p>
      <w:r>
        <w:rPr>
          <w:b w:val="0"/>
          <w:i w:val="0"/>
        </w:rPr>
        <w:t>For modern Microsoft 365 integration using Microsoft Graph: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How to Obtain</w:t>
            </w:r>
          </w:p>
        </w:tc>
      </w:tr>
      <w:tr>
        <w:tc>
          <w:tcPr>
            <w:tcW w:type="dxa" w:w="2160"/>
          </w:tcPr>
          <w:p>
            <w:r>
              <w:t>Tenant ID</w:t>
            </w:r>
          </w:p>
        </w:tc>
        <w:tc>
          <w:tcPr>
            <w:tcW w:type="dxa" w:w="3600"/>
          </w:tcPr>
          <w:p>
            <w:r>
              <w:t>Azure AD tenant identifier</w:t>
            </w:r>
          </w:p>
        </w:tc>
        <w:tc>
          <w:tcPr>
            <w:tcW w:type="dxa" w:w="3600"/>
          </w:tcPr>
          <w:p>
            <w:r>
              <w:t>Azure Portal &gt; Azure Active Directory</w:t>
            </w:r>
          </w:p>
        </w:tc>
      </w:tr>
      <w:tr>
        <w:tc>
          <w:tcPr>
            <w:tcW w:type="dxa" w:w="2160"/>
          </w:tcPr>
          <w:p>
            <w:r>
              <w:t>Client ID</w:t>
            </w:r>
          </w:p>
        </w:tc>
        <w:tc>
          <w:tcPr>
            <w:tcW w:type="dxa" w:w="3600"/>
          </w:tcPr>
          <w:p>
            <w:r>
              <w:t>Application (client) ID</w:t>
            </w:r>
          </w:p>
        </w:tc>
        <w:tc>
          <w:tcPr>
            <w:tcW w:type="dxa" w:w="3600"/>
          </w:tcPr>
          <w:p>
            <w:r>
              <w:t>Azure Portal &gt; App registrations</w:t>
            </w:r>
          </w:p>
        </w:tc>
      </w:tr>
      <w:tr>
        <w:tc>
          <w:tcPr>
            <w:tcW w:type="dxa" w:w="2160"/>
          </w:tcPr>
          <w:p>
            <w:r>
              <w:t>Client Secret</w:t>
            </w:r>
          </w:p>
        </w:tc>
        <w:tc>
          <w:tcPr>
            <w:tcW w:type="dxa" w:w="3600"/>
          </w:tcPr>
          <w:p>
            <w:r>
              <w:t>Client secret value</w:t>
            </w:r>
          </w:p>
        </w:tc>
        <w:tc>
          <w:tcPr>
            <w:tcW w:type="dxa" w:w="3600"/>
          </w:tcPr>
          <w:p>
            <w:r>
              <w:t>Azure Portal &gt; App registrations &gt; Certificates &amp; secrets</w:t>
            </w:r>
          </w:p>
        </w:tc>
      </w:tr>
      <w:tr>
        <w:tc>
          <w:tcPr>
            <w:tcW w:type="dxa" w:w="2160"/>
          </w:tcPr>
          <w:p>
            <w:r>
              <w:t>User Email</w:t>
            </w:r>
          </w:p>
        </w:tc>
        <w:tc>
          <w:tcPr>
            <w:tcW w:type="dxa" w:w="3600"/>
          </w:tcPr>
          <w:p>
            <w:r>
              <w:t>Microsoft 365 mailbox</w:t>
            </w:r>
          </w:p>
        </w:tc>
        <w:tc>
          <w:tcPr>
            <w:tcW w:type="dxa" w:w="3600"/>
          </w:tcPr>
          <w:p>
            <w:r>
              <w:t>The sending user's email address</w:t>
            </w:r>
          </w:p>
        </w:tc>
      </w:tr>
    </w:tbl>
    <w:p/>
    <w:p>
      <w:r>
        <w:rPr>
          <w:b/>
          <w:i w:val="0"/>
        </w:rPr>
        <w:t>Setup Steps:</w:t>
      </w:r>
    </w:p>
    <w:p>
      <w:r>
        <w:rPr>
          <w:b/>
          <w:color w:val="0066CC"/>
        </w:rPr>
        <w:t xml:space="preserve">Step 1: </w:t>
      </w:r>
      <w:r>
        <w:t>Register an application in Azure Portal</w:t>
      </w:r>
    </w:p>
    <w:p>
      <w:r>
        <w:rPr>
          <w:b/>
          <w:color w:val="0066CC"/>
        </w:rPr>
        <w:t xml:space="preserve">Step 2: </w:t>
      </w:r>
      <w:r>
        <w:t>Grant Mail.Send permission (Application type)</w:t>
      </w:r>
    </w:p>
    <w:p>
      <w:r>
        <w:rPr>
          <w:b/>
          <w:color w:val="0066CC"/>
        </w:rPr>
        <w:t xml:space="preserve">Step 3: </w:t>
      </w:r>
      <w:r>
        <w:t>Create a client secret</w:t>
      </w:r>
    </w:p>
    <w:p>
      <w:r>
        <w:rPr>
          <w:b/>
          <w:color w:val="0066CC"/>
        </w:rPr>
        <w:t xml:space="preserve">Step 4: </w:t>
      </w:r>
      <w:r>
        <w:t>Copy Tenant ID, Client ID, and Client Secret</w:t>
      </w:r>
    </w:p>
    <w:p>
      <w:r>
        <w:rPr>
          <w:b/>
          <w:color w:val="0066CC"/>
        </w:rPr>
        <w:t xml:space="preserve">Step 5: </w:t>
      </w:r>
      <w:r>
        <w:t>Enter these values in Settings &gt; Email</w:t>
      </w:r>
    </w:p>
    <w:p>
      <w:r>
        <w:rPr>
          <w:b/>
          <w:color w:val="0066CC"/>
        </w:rPr>
        <w:t xml:space="preserve">Step 6: </w:t>
      </w:r>
      <w:r>
        <w:t>Enter the sender mailbox email</w:t>
      </w:r>
    </w:p>
    <w:p>
      <w:r>
        <w:rPr>
          <w:b/>
          <w:color w:val="0066CC"/>
        </w:rPr>
        <w:t xml:space="preserve">Step 7: </w:t>
      </w:r>
      <w:r>
        <w:t>Test the configuration</w:t>
      </w:r>
    </w:p>
    <w:p>
      <w:pPr>
        <w:pStyle w:val="Heading2"/>
      </w:pPr>
      <w:r>
        <w:t>5.3 Gmail API Configuration</w:t>
      </w:r>
    </w:p>
    <w:p>
      <w:r>
        <w:rPr>
          <w:b w:val="0"/>
          <w:i w:val="0"/>
        </w:rPr>
        <w:t>For Google Workspace using Gmail API: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How to Obtain</w:t>
            </w:r>
          </w:p>
        </w:tc>
      </w:tr>
      <w:tr>
        <w:tc>
          <w:tcPr>
            <w:tcW w:type="dxa" w:w="2160"/>
          </w:tcPr>
          <w:p>
            <w:r>
              <w:t>Client ID</w:t>
            </w:r>
          </w:p>
        </w:tc>
        <w:tc>
          <w:tcPr>
            <w:tcW w:type="dxa" w:w="3600"/>
          </w:tcPr>
          <w:p>
            <w:r>
              <w:t>OAuth2 client ID</w:t>
            </w:r>
          </w:p>
        </w:tc>
        <w:tc>
          <w:tcPr>
            <w:tcW w:type="dxa" w:w="3600"/>
          </w:tcPr>
          <w:p>
            <w:r>
              <w:t>Google Cloud Console &gt; APIs &amp; Credentials</w:t>
            </w:r>
          </w:p>
        </w:tc>
      </w:tr>
      <w:tr>
        <w:tc>
          <w:tcPr>
            <w:tcW w:type="dxa" w:w="2160"/>
          </w:tcPr>
          <w:p>
            <w:r>
              <w:t>Client Secret</w:t>
            </w:r>
          </w:p>
        </w:tc>
        <w:tc>
          <w:tcPr>
            <w:tcW w:type="dxa" w:w="3600"/>
          </w:tcPr>
          <w:p>
            <w:r>
              <w:t>OAuth2 client secret</w:t>
            </w:r>
          </w:p>
        </w:tc>
        <w:tc>
          <w:tcPr>
            <w:tcW w:type="dxa" w:w="3600"/>
          </w:tcPr>
          <w:p>
            <w:r>
              <w:t>Google Cloud Console &gt; APIs &amp; Credentials</w:t>
            </w:r>
          </w:p>
        </w:tc>
      </w:tr>
      <w:tr>
        <w:tc>
          <w:tcPr>
            <w:tcW w:type="dxa" w:w="2160"/>
          </w:tcPr>
          <w:p>
            <w:r>
              <w:t>Refresh Token</w:t>
            </w:r>
          </w:p>
        </w:tc>
        <w:tc>
          <w:tcPr>
            <w:tcW w:type="dxa" w:w="3600"/>
          </w:tcPr>
          <w:p>
            <w:r>
              <w:t>OAuth2 refresh token</w:t>
            </w:r>
          </w:p>
        </w:tc>
        <w:tc>
          <w:tcPr>
            <w:tcW w:type="dxa" w:w="3600"/>
          </w:tcPr>
          <w:p>
            <w:r>
              <w:t>OAuth2 playground or application flow</w:t>
            </w:r>
          </w:p>
        </w:tc>
      </w:tr>
      <w:tr>
        <w:tc>
          <w:tcPr>
            <w:tcW w:type="dxa" w:w="2160"/>
          </w:tcPr>
          <w:p>
            <w:r>
              <w:t>User Email</w:t>
            </w:r>
          </w:p>
        </w:tc>
        <w:tc>
          <w:tcPr>
            <w:tcW w:type="dxa" w:w="3600"/>
          </w:tcPr>
          <w:p>
            <w:r>
              <w:t>Gmail address</w:t>
            </w:r>
          </w:p>
        </w:tc>
        <w:tc>
          <w:tcPr>
            <w:tcW w:type="dxa" w:w="3600"/>
          </w:tcPr>
          <w:p>
            <w:r>
              <w:t>The sending Gmail address</w:t>
            </w:r>
          </w:p>
        </w:tc>
      </w:tr>
    </w:tbl>
    <w:p/>
    <w:p>
      <w:pPr>
        <w:pStyle w:val="Heading2"/>
      </w:pPr>
      <w:r>
        <w:t>5.4 Exchange EWS Configuration</w:t>
      </w:r>
    </w:p>
    <w:p>
      <w:r>
        <w:rPr>
          <w:b w:val="0"/>
          <w:i w:val="0"/>
        </w:rPr>
        <w:t>For legacy Exchange Server using Exchange Web Services: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648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Server URL</w:t>
            </w:r>
          </w:p>
        </w:tc>
        <w:tc>
          <w:tcPr>
            <w:tcW w:type="dxa" w:w="6480"/>
          </w:tcPr>
          <w:p>
            <w:r>
              <w:t>EWS endpoint (e.g., https://mail.company.com/EWS/Exchange.asmx)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6480"/>
          </w:tcPr>
          <w:p>
            <w:r>
              <w:t>Domain\Username or email</w:t>
            </w:r>
          </w:p>
        </w:tc>
      </w:tr>
      <w:tr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6480"/>
          </w:tcPr>
          <w:p>
            <w:r>
              <w:t>Exchange password</w:t>
            </w:r>
          </w:p>
        </w:tc>
      </w:tr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6480"/>
          </w:tcPr>
          <w:p>
            <w:r>
              <w:t>Active Directory domain (optional)</w:t>
            </w:r>
          </w:p>
        </w:tc>
      </w:tr>
      <w:tr>
        <w:tc>
          <w:tcPr>
            <w:tcW w:type="dxa" w:w="2880"/>
          </w:tcPr>
          <w:p>
            <w:r>
              <w:t>Email Address</w:t>
            </w:r>
          </w:p>
        </w:tc>
        <w:tc>
          <w:tcPr>
            <w:tcW w:type="dxa" w:w="6480"/>
          </w:tcPr>
          <w:p>
            <w:r>
              <w:t>Exchange mailbox email</w:t>
            </w:r>
          </w:p>
        </w:tc>
      </w:tr>
    </w:tbl>
    <w:p/>
    <w:p>
      <w:pPr>
        <w:pStyle w:val="Heading2"/>
      </w:pPr>
      <w:r>
        <w:t>5.5 SendGrid Configuration</w:t>
      </w:r>
    </w:p>
    <w:p>
      <w:r>
        <w:rPr>
          <w:b w:val="0"/>
          <w:i w:val="0"/>
        </w:rPr>
        <w:t>For SendGrid transactional email service: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648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API Key</w:t>
            </w:r>
          </w:p>
        </w:tc>
        <w:tc>
          <w:tcPr>
            <w:tcW w:type="dxa" w:w="6480"/>
          </w:tcPr>
          <w:p>
            <w:r>
              <w:t>SendGrid API key (starts with SG.)</w:t>
            </w:r>
          </w:p>
        </w:tc>
      </w:tr>
      <w:tr>
        <w:tc>
          <w:tcPr>
            <w:tcW w:type="dxa" w:w="2880"/>
          </w:tcPr>
          <w:p>
            <w:r>
              <w:t>Sender Email</w:t>
            </w:r>
          </w:p>
        </w:tc>
        <w:tc>
          <w:tcPr>
            <w:tcW w:type="dxa" w:w="6480"/>
          </w:tcPr>
          <w:p>
            <w:r>
              <w:t>Verified sender email in SendGrid</w:t>
            </w:r>
          </w:p>
        </w:tc>
      </w:tr>
    </w:tbl>
    <w:p/>
    <w:p>
      <w:pPr>
        <w:pStyle w:val="Heading2"/>
      </w:pPr>
      <w:r>
        <w:t>5.6 Mailgun Configuration</w:t>
      </w:r>
    </w:p>
    <w:p>
      <w:r>
        <w:rPr>
          <w:b w:val="0"/>
          <w:i w:val="0"/>
        </w:rPr>
        <w:t>For Mailgun email service: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648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API Key</w:t>
            </w:r>
          </w:p>
        </w:tc>
        <w:tc>
          <w:tcPr>
            <w:tcW w:type="dxa" w:w="6480"/>
          </w:tcPr>
          <w:p>
            <w:r>
              <w:t>Mailgun API key</w:t>
            </w:r>
          </w:p>
        </w:tc>
      </w:tr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6480"/>
          </w:tcPr>
          <w:p>
            <w:r>
              <w:t>Mailgun sending domain</w:t>
            </w:r>
          </w:p>
        </w:tc>
      </w:tr>
      <w:tr>
        <w:tc>
          <w:tcPr>
            <w:tcW w:type="dxa" w:w="2880"/>
          </w:tcPr>
          <w:p>
            <w:r>
              <w:t>Sender Email</w:t>
            </w:r>
          </w:p>
        </w:tc>
        <w:tc>
          <w:tcPr>
            <w:tcW w:type="dxa" w:w="6480"/>
          </w:tcPr>
          <w:p>
            <w:r>
              <w:t>Sender email address</w:t>
            </w:r>
          </w:p>
        </w:tc>
      </w:tr>
    </w:tbl>
    <w:p/>
    <w:p>
      <w:pPr>
        <w:pStyle w:val="Heading2"/>
      </w:pPr>
      <w:r>
        <w:t>5.7 AWS SES Configuration</w:t>
      </w:r>
    </w:p>
    <w:p>
      <w:r>
        <w:rPr>
          <w:b w:val="0"/>
          <w:i w:val="0"/>
        </w:rPr>
        <w:t>For Amazon Simple Email Service: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648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AWS Region</w:t>
            </w:r>
          </w:p>
        </w:tc>
        <w:tc>
          <w:tcPr>
            <w:tcW w:type="dxa" w:w="6480"/>
          </w:tcPr>
          <w:p>
            <w:r>
              <w:t>SES region (e.g., us-east-1)</w:t>
            </w:r>
          </w:p>
        </w:tc>
      </w:tr>
      <w:tr>
        <w:tc>
          <w:tcPr>
            <w:tcW w:type="dxa" w:w="2880"/>
          </w:tcPr>
          <w:p>
            <w:r>
              <w:t>Access Key ID</w:t>
            </w:r>
          </w:p>
        </w:tc>
        <w:tc>
          <w:tcPr>
            <w:tcW w:type="dxa" w:w="6480"/>
          </w:tcPr>
          <w:p>
            <w:r>
              <w:t>AWS IAM access key</w:t>
            </w:r>
          </w:p>
        </w:tc>
      </w:tr>
      <w:tr>
        <w:tc>
          <w:tcPr>
            <w:tcW w:type="dxa" w:w="2880"/>
          </w:tcPr>
          <w:p>
            <w:r>
              <w:t>Secret Access Key</w:t>
            </w:r>
          </w:p>
        </w:tc>
        <w:tc>
          <w:tcPr>
            <w:tcW w:type="dxa" w:w="6480"/>
          </w:tcPr>
          <w:p>
            <w:r>
              <w:t>AWS IAM secret key</w:t>
            </w:r>
          </w:p>
        </w:tc>
      </w:tr>
      <w:tr>
        <w:tc>
          <w:tcPr>
            <w:tcW w:type="dxa" w:w="2880"/>
          </w:tcPr>
          <w:p>
            <w:r>
              <w:t>Sender Email</w:t>
            </w:r>
          </w:p>
        </w:tc>
        <w:tc>
          <w:tcPr>
            <w:tcW w:type="dxa" w:w="6480"/>
          </w:tcPr>
          <w:p>
            <w:r>
              <w:t>Verified sender email in SES</w:t>
            </w:r>
          </w:p>
        </w:tc>
      </w:tr>
    </w:tbl>
    <w:p/>
    <w:p>
      <w:pPr>
        <w:pStyle w:val="Heading1"/>
      </w:pPr>
      <w:r>
        <w:t>6. Workflow Settings</w:t>
      </w:r>
    </w:p>
    <w:p>
      <w:pPr>
        <w:pStyle w:val="Heading2"/>
      </w:pPr>
      <w:r>
        <w:t>6.1 Default Workflow Behaviors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600"/>
          </w:tcPr>
          <w:p>
            <w:r>
              <w:t>Require Approvers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4320"/>
          </w:tcPr>
          <w:p>
            <w:r>
              <w:t>Workflows must have at least one approver</w:t>
            </w:r>
          </w:p>
        </w:tc>
      </w:tr>
      <w:tr>
        <w:tc>
          <w:tcPr>
            <w:tcW w:type="dxa" w:w="3600"/>
          </w:tcPr>
          <w:p>
            <w:r>
              <w:t>Allow Draft Save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4320"/>
          </w:tcPr>
          <w:p>
            <w:r>
              <w:t>Users can save incomplete submissions</w:t>
            </w:r>
          </w:p>
        </w:tc>
      </w:tr>
      <w:tr>
        <w:tc>
          <w:tcPr>
            <w:tcW w:type="dxa" w:w="3600"/>
          </w:tcPr>
          <w:p>
            <w:r>
              <w:t>Allow Recall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4320"/>
          </w:tcPr>
          <w:p>
            <w:r>
              <w:t>Initiators can recall pending workflows</w:t>
            </w:r>
          </w:p>
        </w:tc>
      </w:tr>
      <w:tr>
        <w:tc>
          <w:tcPr>
            <w:tcW w:type="dxa" w:w="3600"/>
          </w:tcPr>
          <w:p>
            <w:r>
              <w:t>Allow Cancel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4320"/>
          </w:tcPr>
          <w:p>
            <w:r>
              <w:t>Initiators can cancel their workflows</w:t>
            </w:r>
          </w:p>
        </w:tc>
      </w:tr>
      <w:tr>
        <w:tc>
          <w:tcPr>
            <w:tcW w:type="dxa" w:w="3600"/>
          </w:tcPr>
          <w:p>
            <w:r>
              <w:t>Require Approval Comment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4320"/>
          </w:tcPr>
          <w:p>
            <w:r>
              <w:t>Force comments when approving</w:t>
            </w:r>
          </w:p>
        </w:tc>
      </w:tr>
      <w:tr>
        <w:tc>
          <w:tcPr>
            <w:tcW w:type="dxa" w:w="3600"/>
          </w:tcPr>
          <w:p>
            <w:r>
              <w:t>Require Rejection Comment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4320"/>
          </w:tcPr>
          <w:p>
            <w:r>
              <w:t>Force comments when rejecting</w:t>
            </w:r>
          </w:p>
        </w:tc>
      </w:tr>
      <w:tr>
        <w:tc>
          <w:tcPr>
            <w:tcW w:type="dxa" w:w="3600"/>
          </w:tcPr>
          <w:p>
            <w:r>
              <w:t>Auto-Generate Reference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4320"/>
          </w:tcPr>
          <w:p>
            <w:r>
              <w:t>System generates reference numbers</w:t>
            </w:r>
          </w:p>
        </w:tc>
      </w:tr>
      <w:tr>
        <w:tc>
          <w:tcPr>
            <w:tcW w:type="dxa" w:w="3600"/>
          </w:tcPr>
          <w:p>
            <w:r>
              <w:t>Skip Unauthorized Approvers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4320"/>
          </w:tcPr>
          <w:p>
            <w:r>
              <w:t>Auto-escalate when amount exceeds limit</w:t>
            </w:r>
          </w:p>
        </w:tc>
      </w:tr>
    </w:tbl>
    <w:p/>
    <w:p>
      <w:pPr>
        <w:pStyle w:val="Heading2"/>
      </w:pPr>
      <w:r>
        <w:t>6.2 Reference Number Format</w:t>
      </w:r>
    </w:p>
    <w:p>
      <w:r>
        <w:rPr>
          <w:b w:val="0"/>
          <w:i w:val="0"/>
        </w:rPr>
        <w:t>Configure how workflow reference numbers are generated: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Token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t>Prefix</w:t>
            </w:r>
          </w:p>
        </w:tc>
        <w:tc>
          <w:tcPr>
            <w:tcW w:type="dxa" w:w="2160"/>
          </w:tcPr>
          <w:p>
            <w:r>
              <w:t>WF</w:t>
            </w:r>
          </w:p>
        </w:tc>
        <w:tc>
          <w:tcPr>
            <w:tcW w:type="dxa" w:w="2880"/>
          </w:tcPr>
          <w:p>
            <w:r>
              <w:t>WF-</w:t>
            </w:r>
          </w:p>
        </w:tc>
      </w:tr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{YYYY}</w:t>
            </w:r>
          </w:p>
        </w:tc>
        <w:tc>
          <w:tcPr>
            <w:tcW w:type="dxa" w:w="2880"/>
          </w:tcPr>
          <w:p>
            <w:r>
              <w:t>2024</w:t>
            </w:r>
          </w:p>
        </w:tc>
      </w:tr>
      <w:tr>
        <w:tc>
          <w:tcPr>
            <w:tcW w:type="dxa" w:w="2880"/>
          </w:tcPr>
          <w:p>
            <w:r>
              <w:t>Month</w:t>
            </w:r>
          </w:p>
        </w:tc>
        <w:tc>
          <w:tcPr>
            <w:tcW w:type="dxa" w:w="2160"/>
          </w:tcPr>
          <w:p>
            <w:r>
              <w:t>{MM}</w:t>
            </w:r>
          </w:p>
        </w:tc>
        <w:tc>
          <w:tcPr>
            <w:tcW w:type="dxa" w:w="2880"/>
          </w:tcPr>
          <w:p>
            <w:r>
              <w:t>01</w:t>
            </w:r>
          </w:p>
        </w:tc>
      </w:tr>
      <w:tr>
        <w:tc>
          <w:tcPr>
            <w:tcW w:type="dxa" w:w="2880"/>
          </w:tcPr>
          <w:p>
            <w:r>
              <w:t>Sequential</w:t>
            </w:r>
          </w:p>
        </w:tc>
        <w:tc>
          <w:tcPr>
            <w:tcW w:type="dxa" w:w="2160"/>
          </w:tcPr>
          <w:p>
            <w:r>
              <w:t>{SEQ}</w:t>
            </w:r>
          </w:p>
        </w:tc>
        <w:tc>
          <w:tcPr>
            <w:tcW w:type="dxa" w:w="2880"/>
          </w:tcPr>
          <w:p>
            <w:r>
              <w:t>00001</w:t>
            </w:r>
          </w:p>
        </w:tc>
      </w:tr>
      <w:tr>
        <w:tc>
          <w:tcPr>
            <w:tcW w:type="dxa" w:w="2880"/>
          </w:tcPr>
          <w:p>
            <w:r>
              <w:t>Workflow Code</w:t>
            </w:r>
          </w:p>
        </w:tc>
        <w:tc>
          <w:tcPr>
            <w:tcW w:type="dxa" w:w="2160"/>
          </w:tcPr>
          <w:p>
            <w:r>
              <w:t>{CODE}</w:t>
            </w:r>
          </w:p>
        </w:tc>
        <w:tc>
          <w:tcPr>
            <w:tcW w:type="dxa" w:w="2880"/>
          </w:tcPr>
          <w:p>
            <w:r>
              <w:t>PR</w:t>
            </w:r>
          </w:p>
        </w:tc>
      </w:tr>
    </w:tbl>
    <w:p/>
    <w:p/>
    <w:p>
      <w:pPr>
        <w:ind w:left="720"/>
      </w:pPr>
      <w:r>
        <w:rPr>
          <w:b/>
          <w:color w:val="006633"/>
        </w:rPr>
        <w:t>Example: Reference Number Format</w:t>
        <w:br/>
      </w:r>
      <w:r>
        <w:rPr>
          <w:i/>
          <w:sz w:val="20"/>
        </w:rPr>
        <w:t>Format: WF-{YYYY}-{SEQ}</w:t>
        <w:br/>
        <w:t>Result: WF-2024-00001, WF-2024-00002, ...</w:t>
        <w:br/>
        <w:br/>
        <w:t>Format: {CODE}/{YYYY}/{MM}/{SEQ}</w:t>
        <w:br/>
        <w:t>Result: PR/2024/01/00001, PR/2024/01/00002, ...</w:t>
        <w:br/>
      </w:r>
    </w:p>
    <w:p>
      <w:pPr>
        <w:pStyle w:val="Heading2"/>
      </w:pPr>
      <w:r>
        <w:t>6.3 Escalation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600"/>
          </w:tcPr>
          <w:p>
            <w:r>
              <w:t>Default Escalation Days</w:t>
            </w:r>
          </w:p>
        </w:tc>
        <w:tc>
          <w:tcPr>
            <w:tcW w:type="dxa" w:w="2160"/>
          </w:tcPr>
          <w:p>
            <w:r>
              <w:t>3 days</w:t>
            </w:r>
          </w:p>
        </w:tc>
        <w:tc>
          <w:tcPr>
            <w:tcW w:type="dxa" w:w="3600"/>
          </w:tcPr>
          <w:p>
            <w:r>
              <w:t>Time before auto-escalation</w:t>
            </w:r>
          </w:p>
        </w:tc>
      </w:tr>
      <w:tr>
        <w:tc>
          <w:tcPr>
            <w:tcW w:type="dxa" w:w="3600"/>
          </w:tcPr>
          <w:p>
            <w:r>
              <w:t>Send Escalation Email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3600"/>
          </w:tcPr>
          <w:p>
            <w:r>
              <w:t>Notify when workflow escalates</w:t>
            </w:r>
          </w:p>
        </w:tc>
      </w:tr>
      <w:tr>
        <w:tc>
          <w:tcPr>
            <w:tcW w:type="dxa" w:w="3600"/>
          </w:tcPr>
          <w:p>
            <w:r>
              <w:t>Send Reminder Email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3600"/>
          </w:tcPr>
          <w:p>
            <w:r>
              <w:t>Send reminders before escalation</w:t>
            </w:r>
          </w:p>
        </w:tc>
      </w:tr>
    </w:tbl>
    <w:p/>
    <w:p>
      <w:pPr>
        <w:pStyle w:val="Heading1"/>
      </w:pPr>
      <w:r>
        <w:t>7. Security Settings</w:t>
      </w:r>
    </w:p>
    <w:p>
      <w:pPr>
        <w:pStyle w:val="Heading2"/>
      </w:pPr>
      <w:r>
        <w:t>7.1 Password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Minimum Length</w:t>
            </w:r>
          </w:p>
        </w:tc>
        <w:tc>
          <w:tcPr>
            <w:tcW w:type="dxa" w:w="2160"/>
          </w:tcPr>
          <w:p>
            <w:r>
              <w:t>8 characters</w:t>
            </w:r>
          </w:p>
        </w:tc>
        <w:tc>
          <w:tcPr>
            <w:tcW w:type="dxa" w:w="4320"/>
          </w:tcPr>
          <w:p>
            <w:r>
              <w:t>Minimum password length</w:t>
            </w:r>
          </w:p>
        </w:tc>
      </w:tr>
      <w:tr>
        <w:tc>
          <w:tcPr>
            <w:tcW w:type="dxa" w:w="2880"/>
          </w:tcPr>
          <w:p>
            <w:r>
              <w:t>Require Uppercase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4320"/>
          </w:tcPr>
          <w:p>
            <w:r>
              <w:t>Must include uppercase letter</w:t>
            </w:r>
          </w:p>
        </w:tc>
      </w:tr>
      <w:tr>
        <w:tc>
          <w:tcPr>
            <w:tcW w:type="dxa" w:w="2880"/>
          </w:tcPr>
          <w:p>
            <w:r>
              <w:t>Require Lowercase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4320"/>
          </w:tcPr>
          <w:p>
            <w:r>
              <w:t>Must include lowercase letter</w:t>
            </w:r>
          </w:p>
        </w:tc>
      </w:tr>
      <w:tr>
        <w:tc>
          <w:tcPr>
            <w:tcW w:type="dxa" w:w="2880"/>
          </w:tcPr>
          <w:p>
            <w:r>
              <w:t>Require Number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4320"/>
          </w:tcPr>
          <w:p>
            <w:r>
              <w:t>Must include digit</w:t>
            </w:r>
          </w:p>
        </w:tc>
      </w:tr>
      <w:tr>
        <w:tc>
          <w:tcPr>
            <w:tcW w:type="dxa" w:w="2880"/>
          </w:tcPr>
          <w:p>
            <w:r>
              <w:t>Require Special Char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4320"/>
          </w:tcPr>
          <w:p>
            <w:r>
              <w:t>Must include special character</w:t>
            </w:r>
          </w:p>
        </w:tc>
      </w:tr>
      <w:tr>
        <w:tc>
          <w:tcPr>
            <w:tcW w:type="dxa" w:w="2880"/>
          </w:tcPr>
          <w:p>
            <w:r>
              <w:t>Password Expiry</w:t>
            </w:r>
          </w:p>
        </w:tc>
        <w:tc>
          <w:tcPr>
            <w:tcW w:type="dxa" w:w="2160"/>
          </w:tcPr>
          <w:p>
            <w:r>
              <w:t>90 days</w:t>
            </w:r>
          </w:p>
        </w:tc>
        <w:tc>
          <w:tcPr>
            <w:tcW w:type="dxa" w:w="4320"/>
          </w:tcPr>
          <w:p>
            <w:r>
              <w:t>Days before password must change</w:t>
            </w:r>
          </w:p>
        </w:tc>
      </w:tr>
      <w:tr>
        <w:tc>
          <w:tcPr>
            <w:tcW w:type="dxa" w:w="2880"/>
          </w:tcPr>
          <w:p>
            <w:r>
              <w:t>Password History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Number of previous passwords prevented</w:t>
            </w:r>
          </w:p>
        </w:tc>
      </w:tr>
    </w:tbl>
    <w:p/>
    <w:p>
      <w:pPr>
        <w:pStyle w:val="Heading2"/>
      </w:pPr>
      <w:r>
        <w:t>7.2 Account Lockout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600"/>
          </w:tcPr>
          <w:p>
            <w:r>
              <w:t>Max Failed Attempts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3600"/>
          </w:tcPr>
          <w:p>
            <w:r>
              <w:t>Failed logins before lockout</w:t>
            </w:r>
          </w:p>
        </w:tc>
      </w:tr>
      <w:tr>
        <w:tc>
          <w:tcPr>
            <w:tcW w:type="dxa" w:w="3600"/>
          </w:tcPr>
          <w:p>
            <w:r>
              <w:t>Lockout Duration</w:t>
            </w:r>
          </w:p>
        </w:tc>
        <w:tc>
          <w:tcPr>
            <w:tcW w:type="dxa" w:w="2160"/>
          </w:tcPr>
          <w:p>
            <w:r>
              <w:t>30 minutes</w:t>
            </w:r>
          </w:p>
        </w:tc>
        <w:tc>
          <w:tcPr>
            <w:tcW w:type="dxa" w:w="3600"/>
          </w:tcPr>
          <w:p>
            <w:r>
              <w:t>Auto-unlock after this time</w:t>
            </w:r>
          </w:p>
        </w:tc>
      </w:tr>
      <w:tr>
        <w:tc>
          <w:tcPr>
            <w:tcW w:type="dxa" w:w="3600"/>
          </w:tcPr>
          <w:p>
            <w:r>
              <w:t>Reset Counter After</w:t>
            </w:r>
          </w:p>
        </w:tc>
        <w:tc>
          <w:tcPr>
            <w:tcW w:type="dxa" w:w="2160"/>
          </w:tcPr>
          <w:p>
            <w:r>
              <w:t>30 minutes</w:t>
            </w:r>
          </w:p>
        </w:tc>
        <w:tc>
          <w:tcPr>
            <w:tcW w:type="dxa" w:w="3600"/>
          </w:tcPr>
          <w:p>
            <w:r>
              <w:t>Clear failed count after success</w:t>
            </w:r>
          </w:p>
        </w:tc>
      </w:tr>
    </w:tbl>
    <w:p/>
    <w:p>
      <w:pPr>
        <w:pStyle w:val="Heading2"/>
      </w:pPr>
      <w:r>
        <w:t>7.3 Session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600"/>
          </w:tcPr>
          <w:p>
            <w:r>
              <w:t>Token Expiry</w:t>
            </w:r>
          </w:p>
        </w:tc>
        <w:tc>
          <w:tcPr>
            <w:tcW w:type="dxa" w:w="2160"/>
          </w:tcPr>
          <w:p>
            <w:r>
              <w:t>8 hours</w:t>
            </w:r>
          </w:p>
        </w:tc>
        <w:tc>
          <w:tcPr>
            <w:tcW w:type="dxa" w:w="3600"/>
          </w:tcPr>
          <w:p>
            <w:r>
              <w:t>JWT token validity period</w:t>
            </w:r>
          </w:p>
        </w:tc>
      </w:tr>
      <w:tr>
        <w:tc>
          <w:tcPr>
            <w:tcW w:type="dxa" w:w="3600"/>
          </w:tcPr>
          <w:p>
            <w:r>
              <w:t>Secure Cookies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3600"/>
          </w:tcPr>
          <w:p>
            <w:r>
              <w:t>Use secure flag for cookies</w:t>
            </w:r>
          </w:p>
        </w:tc>
      </w:tr>
      <w:tr>
        <w:tc>
          <w:tcPr>
            <w:tcW w:type="dxa" w:w="3600"/>
          </w:tcPr>
          <w:p>
            <w:r>
              <w:t>SameSite Policy</w:t>
            </w:r>
          </w:p>
        </w:tc>
        <w:tc>
          <w:tcPr>
            <w:tcW w:type="dxa" w:w="2160"/>
          </w:tcPr>
          <w:p>
            <w:r>
              <w:t>Strict</w:t>
            </w:r>
          </w:p>
        </w:tc>
        <w:tc>
          <w:tcPr>
            <w:tcW w:type="dxa" w:w="3600"/>
          </w:tcPr>
          <w:p>
            <w:r>
              <w:t>Cookie same-site policy</w:t>
            </w:r>
          </w:p>
        </w:tc>
      </w:tr>
    </w:tbl>
    <w:p/>
    <w:p>
      <w:pPr>
        <w:pStyle w:val="Heading1"/>
      </w:pPr>
      <w:r>
        <w:t>8. Notification Settings</w:t>
      </w:r>
    </w:p>
    <w:p>
      <w:pPr>
        <w:pStyle w:val="Heading2"/>
      </w:pPr>
      <w:r>
        <w:t>8.1 Email Notification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Notification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Recipients</w:t>
            </w:r>
          </w:p>
        </w:tc>
      </w:tr>
      <w:tr>
        <w:tc>
          <w:tcPr>
            <w:tcW w:type="dxa" w:w="3600"/>
          </w:tcPr>
          <w:p>
            <w:r>
              <w:t>Workflow Submitted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4320"/>
          </w:tcPr>
          <w:p>
            <w:r>
              <w:t>First level approver</w:t>
            </w:r>
          </w:p>
        </w:tc>
      </w:tr>
      <w:tr>
        <w:tc>
          <w:tcPr>
            <w:tcW w:type="dxa" w:w="3600"/>
          </w:tcPr>
          <w:p>
            <w:r>
              <w:t>Workflow Approved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4320"/>
          </w:tcPr>
          <w:p>
            <w:r>
              <w:t>Initiator, next approver</w:t>
            </w:r>
          </w:p>
        </w:tc>
      </w:tr>
      <w:tr>
        <w:tc>
          <w:tcPr>
            <w:tcW w:type="dxa" w:w="3600"/>
          </w:tcPr>
          <w:p>
            <w:r>
              <w:t>Workflow Rejected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4320"/>
          </w:tcPr>
          <w:p>
            <w:r>
              <w:t>Initiator</w:t>
            </w:r>
          </w:p>
        </w:tc>
      </w:tr>
      <w:tr>
        <w:tc>
          <w:tcPr>
            <w:tcW w:type="dxa" w:w="3600"/>
          </w:tcPr>
          <w:p>
            <w:r>
              <w:t>Workflow Escalated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4320"/>
          </w:tcPr>
          <w:p>
            <w:r>
              <w:t>Escalation target, initiator</w:t>
            </w:r>
          </w:p>
        </w:tc>
      </w:tr>
      <w:tr>
        <w:tc>
          <w:tcPr>
            <w:tcW w:type="dxa" w:w="3600"/>
          </w:tcPr>
          <w:p>
            <w:r>
              <w:t>Workflow Recalled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4320"/>
          </w:tcPr>
          <w:p>
            <w:r>
              <w:t>Previous approver</w:t>
            </w:r>
          </w:p>
        </w:tc>
      </w:tr>
      <w:tr>
        <w:tc>
          <w:tcPr>
            <w:tcW w:type="dxa" w:w="3600"/>
          </w:tcPr>
          <w:p>
            <w:r>
              <w:t>Password Reset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4320"/>
          </w:tcPr>
          <w:p>
            <w:r>
              <w:t>User requesting reset</w:t>
            </w:r>
          </w:p>
        </w:tc>
      </w:tr>
      <w:tr>
        <w:tc>
          <w:tcPr>
            <w:tcW w:type="dxa" w:w="3600"/>
          </w:tcPr>
          <w:p>
            <w:r>
              <w:t>Account Locked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4320"/>
          </w:tcPr>
          <w:p>
            <w:r>
              <w:t>User, admin</w:t>
            </w:r>
          </w:p>
        </w:tc>
      </w:tr>
    </w:tbl>
    <w:p/>
    <w:p>
      <w:pPr>
        <w:pStyle w:val="Heading2"/>
      </w:pPr>
      <w:r>
        <w:t>8.2 Enabling/Disabling Notifications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Navigate to Settings &gt; Notifications</w:t>
      </w:r>
    </w:p>
    <w:p>
      <w:r>
        <w:rPr>
          <w:b/>
          <w:color w:val="0066CC"/>
        </w:rPr>
        <w:t xml:space="preserve">Step 2: </w:t>
      </w:r>
      <w:r>
        <w:t>Find the notification type</w:t>
      </w:r>
    </w:p>
    <w:p>
      <w:r>
        <w:rPr>
          <w:b/>
          <w:color w:val="0066CC"/>
        </w:rPr>
        <w:t xml:space="preserve">Step 3: </w:t>
      </w:r>
      <w:r>
        <w:t>Toggle the switch to enable/disable</w:t>
      </w:r>
    </w:p>
    <w:p>
      <w:r>
        <w:rPr>
          <w:b/>
          <w:color w:val="0066CC"/>
        </w:rPr>
        <w:t xml:space="preserve">Step 4: </w:t>
      </w:r>
      <w:r>
        <w:t>Click 'Save' to apply changes</w:t>
      </w:r>
    </w:p>
    <w:p>
      <w:pPr>
        <w:pStyle w:val="Heading2"/>
      </w:pPr>
      <w:r>
        <w:t>8.3 Email Approval Links</w:t>
      </w:r>
    </w:p>
    <w:p>
      <w:r>
        <w:rPr>
          <w:b w:val="0"/>
          <w:i w:val="0"/>
        </w:rPr>
        <w:t>Configure whether approval emails include direct action links: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648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Include Approve Link</w:t>
            </w:r>
          </w:p>
        </w:tc>
        <w:tc>
          <w:tcPr>
            <w:tcW w:type="dxa" w:w="6480"/>
          </w:tcPr>
          <w:p>
            <w:r>
              <w:t>Email contains direct approve button/link</w:t>
            </w:r>
          </w:p>
        </w:tc>
      </w:tr>
      <w:tr>
        <w:tc>
          <w:tcPr>
            <w:tcW w:type="dxa" w:w="2880"/>
          </w:tcPr>
          <w:p>
            <w:r>
              <w:t>Include Reject Link</w:t>
            </w:r>
          </w:p>
        </w:tc>
        <w:tc>
          <w:tcPr>
            <w:tcW w:type="dxa" w:w="6480"/>
          </w:tcPr>
          <w:p>
            <w:r>
              <w:t>Email contains direct reject button/link</w:t>
            </w:r>
          </w:p>
        </w:tc>
      </w:tr>
      <w:tr>
        <w:tc>
          <w:tcPr>
            <w:tcW w:type="dxa" w:w="2880"/>
          </w:tcPr>
          <w:p>
            <w:r>
              <w:t>Include Escalate Link</w:t>
            </w:r>
          </w:p>
        </w:tc>
        <w:tc>
          <w:tcPr>
            <w:tcW w:type="dxa" w:w="6480"/>
          </w:tcPr>
          <w:p>
            <w:r>
              <w:t>Email contains direct escalate button/link</w:t>
            </w:r>
          </w:p>
        </w:tc>
      </w:tr>
      <w:tr>
        <w:tc>
          <w:tcPr>
            <w:tcW w:type="dxa" w:w="2880"/>
          </w:tcPr>
          <w:p>
            <w:r>
              <w:t>Link Expiry</w:t>
            </w:r>
          </w:p>
        </w:tc>
        <w:tc>
          <w:tcPr>
            <w:tcW w:type="dxa" w:w="6480"/>
          </w:tcPr>
          <w:p>
            <w:r>
              <w:t>How long email links remain valid (default 7 days)</w:t>
            </w:r>
          </w:p>
        </w:tc>
      </w:tr>
      <w:tr>
        <w:tc>
          <w:tcPr>
            <w:tcW w:type="dxa" w:w="2880"/>
          </w:tcPr>
          <w:p>
            <w:r>
              <w:t>Include Submission Title</w:t>
            </w:r>
          </w:p>
        </w:tc>
        <w:tc>
          <w:tcPr>
            <w:tcW w:type="dxa" w:w="6480"/>
          </w:tcPr>
          <w:p>
            <w:r>
              <w:t>Show submission title in email subject</w:t>
            </w:r>
          </w:p>
        </w:tc>
      </w:tr>
    </w:tbl>
    <w:p/>
    <w:p>
      <w:pPr>
        <w:pStyle w:val="Heading1"/>
      </w:pPr>
      <w:r>
        <w:t>9. UI Customization</w:t>
      </w:r>
    </w:p>
    <w:p>
      <w:pPr>
        <w:pStyle w:val="Heading2"/>
      </w:pPr>
      <w:r>
        <w:t>9.1 Branding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648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Application Name</w:t>
            </w:r>
          </w:p>
        </w:tc>
        <w:tc>
          <w:tcPr>
            <w:tcW w:type="dxa" w:w="6480"/>
          </w:tcPr>
          <w:p>
            <w:r>
              <w:t>Name shown in browser tab and header</w:t>
            </w:r>
          </w:p>
        </w:tc>
      </w:tr>
      <w:tr>
        <w:tc>
          <w:tcPr>
            <w:tcW w:type="dxa" w:w="2880"/>
          </w:tcPr>
          <w:p>
            <w:r>
              <w:t>Logo</w:t>
            </w:r>
          </w:p>
        </w:tc>
        <w:tc>
          <w:tcPr>
            <w:tcW w:type="dxa" w:w="6480"/>
          </w:tcPr>
          <w:p>
            <w:r>
              <w:t>Application logo (recommended: 200x50px)</w:t>
            </w:r>
          </w:p>
        </w:tc>
      </w:tr>
      <w:tr>
        <w:tc>
          <w:tcPr>
            <w:tcW w:type="dxa" w:w="2880"/>
          </w:tcPr>
          <w:p>
            <w:r>
              <w:t>Favicon</w:t>
            </w:r>
          </w:p>
        </w:tc>
        <w:tc>
          <w:tcPr>
            <w:tcW w:type="dxa" w:w="6480"/>
          </w:tcPr>
          <w:p>
            <w:r>
              <w:t>Browser tab icon (16x16 or 32x32 ICO/PNG)</w:t>
            </w:r>
          </w:p>
        </w:tc>
      </w:tr>
      <w:tr>
        <w:tc>
          <w:tcPr>
            <w:tcW w:type="dxa" w:w="2880"/>
          </w:tcPr>
          <w:p>
            <w:r>
              <w:t>Primary Color</w:t>
            </w:r>
          </w:p>
        </w:tc>
        <w:tc>
          <w:tcPr>
            <w:tcW w:type="dxa" w:w="6480"/>
          </w:tcPr>
          <w:p>
            <w:r>
              <w:t>Main theme color</w:t>
            </w:r>
          </w:p>
        </w:tc>
      </w:tr>
      <w:tr>
        <w:tc>
          <w:tcPr>
            <w:tcW w:type="dxa" w:w="2880"/>
          </w:tcPr>
          <w:p>
            <w:r>
              <w:t>Secondary Color</w:t>
            </w:r>
          </w:p>
        </w:tc>
        <w:tc>
          <w:tcPr>
            <w:tcW w:type="dxa" w:w="6480"/>
          </w:tcPr>
          <w:p>
            <w:r>
              <w:t>Accent color for highlights</w:t>
            </w:r>
          </w:p>
        </w:tc>
      </w:tr>
    </w:tbl>
    <w:p/>
    <w:p>
      <w:pPr>
        <w:pStyle w:val="Heading2"/>
      </w:pPr>
      <w:r>
        <w:t>9.2 Logo Configuration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Navigate to Settings &gt; Appearance tab</w:t>
      </w:r>
    </w:p>
    <w:p>
      <w:r>
        <w:rPr>
          <w:b/>
          <w:color w:val="0066CC"/>
        </w:rPr>
        <w:t xml:space="preserve">Step 2: </w:t>
      </w:r>
      <w:r>
        <w:t>Click 'Upload Logo' button</w:t>
      </w:r>
    </w:p>
    <w:p>
      <w:r>
        <w:rPr>
          <w:b/>
          <w:color w:val="0066CC"/>
        </w:rPr>
        <w:t xml:space="preserve">Step 3: </w:t>
      </w:r>
      <w:r>
        <w:t>Select an image file (PNG, JPG recommended)</w:t>
      </w:r>
    </w:p>
    <w:p>
      <w:r>
        <w:rPr>
          <w:b/>
          <w:color w:val="0066CC"/>
        </w:rPr>
        <w:t xml:space="preserve">Step 4: </w:t>
      </w:r>
      <w:r>
        <w:t>Preview the logo in the header</w:t>
      </w:r>
    </w:p>
    <w:p>
      <w:r>
        <w:rPr>
          <w:b/>
          <w:color w:val="0066CC"/>
        </w:rPr>
        <w:t xml:space="preserve">Step 5: </w:t>
      </w:r>
      <w:r>
        <w:t>Click 'Save' to apply</w:t>
      </w:r>
    </w:p>
    <w:p>
      <w:pPr>
        <w:pStyle w:val="Heading2"/>
      </w:pPr>
      <w:r>
        <w:t>9.3 Dashboard Customization</w:t>
      </w:r>
    </w:p>
    <w:p>
      <w:pPr>
        <w:pStyle w:val="ListBullet"/>
      </w:pPr>
      <w:r>
        <w:t>Configure which widgets appear on the dashboard</w:t>
      </w:r>
    </w:p>
    <w:p>
      <w:pPr>
        <w:pStyle w:val="ListBullet"/>
      </w:pPr>
      <w:r>
        <w:t>Set default number of items in lists</w:t>
      </w:r>
    </w:p>
    <w:p>
      <w:pPr>
        <w:pStyle w:val="ListBullet"/>
      </w:pPr>
      <w:r>
        <w:t>Configure quick action buttons</w:t>
      </w:r>
    </w:p>
    <w:p>
      <w:pPr>
        <w:pStyle w:val="ListBullet"/>
      </w:pPr>
      <w:r>
        <w:t>Set default landing page after login</w:t>
      </w:r>
    </w:p>
    <w:p>
      <w:pPr>
        <w:pStyle w:val="Heading1"/>
      </w:pPr>
      <w:r>
        <w:t>10. Theme Settings</w:t>
      </w:r>
    </w:p>
    <w:p>
      <w:r>
        <w:rPr>
          <w:b w:val="0"/>
          <w:i w:val="0"/>
        </w:rPr>
        <w:t>The Theme Settings tab provides comprehensive control over the application's visual appearance. Changes apply immediately after saving.</w:t>
      </w:r>
    </w:p>
    <w:p>
      <w:pPr>
        <w:pStyle w:val="Heading2"/>
      </w:pPr>
      <w:r>
        <w:t>10.1 Theme Color 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504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Dark Theme</w:t>
            </w:r>
          </w:p>
        </w:tc>
        <w:tc>
          <w:tcPr>
            <w:tcW w:type="dxa" w:w="1440"/>
          </w:tcPr>
          <w:p>
            <w:r>
              <w:t>Toggle</w:t>
            </w:r>
          </w:p>
        </w:tc>
        <w:tc>
          <w:tcPr>
            <w:tcW w:type="dxa" w:w="5040"/>
          </w:tcPr>
          <w:p>
            <w:r>
              <w:t>Enable dark mode with dark backgrounds and light text</w:t>
            </w:r>
          </w:p>
        </w:tc>
      </w:tr>
      <w:tr>
        <w:tc>
          <w:tcPr>
            <w:tcW w:type="dxa" w:w="2880"/>
          </w:tcPr>
          <w:p>
            <w:r>
              <w:t>Primary Color</w:t>
            </w:r>
          </w:p>
        </w:tc>
        <w:tc>
          <w:tcPr>
            <w:tcW w:type="dxa" w:w="1440"/>
          </w:tcPr>
          <w:p>
            <w:r>
              <w:t>Color</w:t>
            </w:r>
          </w:p>
        </w:tc>
        <w:tc>
          <w:tcPr>
            <w:tcW w:type="dxa" w:w="5040"/>
          </w:tcPr>
          <w:p>
            <w:r>
              <w:t>Main brand color used throughout the application</w:t>
            </w:r>
          </w:p>
        </w:tc>
      </w:tr>
      <w:tr>
        <w:tc>
          <w:tcPr>
            <w:tcW w:type="dxa" w:w="2880"/>
          </w:tcPr>
          <w:p>
            <w:r>
              <w:t>Secondary Color</w:t>
            </w:r>
          </w:p>
        </w:tc>
        <w:tc>
          <w:tcPr>
            <w:tcW w:type="dxa" w:w="1440"/>
          </w:tcPr>
          <w:p>
            <w:r>
              <w:t>Color</w:t>
            </w:r>
          </w:p>
        </w:tc>
        <w:tc>
          <w:tcPr>
            <w:tcW w:type="dxa" w:w="5040"/>
          </w:tcPr>
          <w:p>
            <w:r>
              <w:t>Accent color for highlights and secondary elements</w:t>
            </w:r>
          </w:p>
        </w:tc>
      </w:tr>
      <w:tr>
        <w:tc>
          <w:tcPr>
            <w:tcW w:type="dxa" w:w="2880"/>
          </w:tcPr>
          <w:p>
            <w:r>
              <w:t>Sidebar Background</w:t>
            </w:r>
          </w:p>
        </w:tc>
        <w:tc>
          <w:tcPr>
            <w:tcW w:type="dxa" w:w="1440"/>
          </w:tcPr>
          <w:p>
            <w:r>
              <w:t>Color</w:t>
            </w:r>
          </w:p>
        </w:tc>
        <w:tc>
          <w:tcPr>
            <w:tcW w:type="dxa" w:w="5040"/>
          </w:tcPr>
          <w:p>
            <w:r>
              <w:t>Background color of the navigation sidebar</w:t>
            </w:r>
          </w:p>
        </w:tc>
      </w:tr>
      <w:tr>
        <w:tc>
          <w:tcPr>
            <w:tcW w:type="dxa" w:w="2880"/>
          </w:tcPr>
          <w:p>
            <w:r>
              <w:t>Sidebar Text</w:t>
            </w:r>
          </w:p>
        </w:tc>
        <w:tc>
          <w:tcPr>
            <w:tcW w:type="dxa" w:w="1440"/>
          </w:tcPr>
          <w:p>
            <w:r>
              <w:t>Color</w:t>
            </w:r>
          </w:p>
        </w:tc>
        <w:tc>
          <w:tcPr>
            <w:tcW w:type="dxa" w:w="5040"/>
          </w:tcPr>
          <w:p>
            <w:r>
              <w:t>Text color in the navigation sidebar</w:t>
            </w:r>
          </w:p>
        </w:tc>
      </w:tr>
      <w:tr>
        <w:tc>
          <w:tcPr>
            <w:tcW w:type="dxa" w:w="2880"/>
          </w:tcPr>
          <w:p>
            <w:r>
              <w:t>Header Background</w:t>
            </w:r>
          </w:p>
        </w:tc>
        <w:tc>
          <w:tcPr>
            <w:tcW w:type="dxa" w:w="1440"/>
          </w:tcPr>
          <w:p>
            <w:r>
              <w:t>Color</w:t>
            </w:r>
          </w:p>
        </w:tc>
        <w:tc>
          <w:tcPr>
            <w:tcW w:type="dxa" w:w="5040"/>
          </w:tcPr>
          <w:p>
            <w:r>
              <w:t>Background color of the top header bar</w:t>
            </w:r>
          </w:p>
        </w:tc>
      </w:tr>
      <w:tr>
        <w:tc>
          <w:tcPr>
            <w:tcW w:type="dxa" w:w="2880"/>
          </w:tcPr>
          <w:p>
            <w:r>
              <w:t>Header Text</w:t>
            </w:r>
          </w:p>
        </w:tc>
        <w:tc>
          <w:tcPr>
            <w:tcW w:type="dxa" w:w="1440"/>
          </w:tcPr>
          <w:p>
            <w:r>
              <w:t>Color</w:t>
            </w:r>
          </w:p>
        </w:tc>
        <w:tc>
          <w:tcPr>
            <w:tcW w:type="dxa" w:w="5040"/>
          </w:tcPr>
          <w:p>
            <w:r>
              <w:t>Text color in the header</w:t>
            </w:r>
          </w:p>
        </w:tc>
      </w:tr>
      <w:tr>
        <w:tc>
          <w:tcPr>
            <w:tcW w:type="dxa" w:w="2880"/>
          </w:tcPr>
          <w:p>
            <w:r>
              <w:t>Body Background</w:t>
            </w:r>
          </w:p>
        </w:tc>
        <w:tc>
          <w:tcPr>
            <w:tcW w:type="dxa" w:w="1440"/>
          </w:tcPr>
          <w:p>
            <w:r>
              <w:t>Color</w:t>
            </w:r>
          </w:p>
        </w:tc>
        <w:tc>
          <w:tcPr>
            <w:tcW w:type="dxa" w:w="5040"/>
          </w:tcPr>
          <w:p>
            <w:r>
              <w:t>Main content area background color</w:t>
            </w:r>
          </w:p>
        </w:tc>
      </w:tr>
      <w:tr>
        <w:tc>
          <w:tcPr>
            <w:tcW w:type="dxa" w:w="2880"/>
          </w:tcPr>
          <w:p>
            <w:r>
              <w:t>Card Background</w:t>
            </w:r>
          </w:p>
        </w:tc>
        <w:tc>
          <w:tcPr>
            <w:tcW w:type="dxa" w:w="1440"/>
          </w:tcPr>
          <w:p>
            <w:r>
              <w:t>Color</w:t>
            </w:r>
          </w:p>
        </w:tc>
        <w:tc>
          <w:tcPr>
            <w:tcW w:type="dxa" w:w="5040"/>
          </w:tcPr>
          <w:p>
            <w:r>
              <w:t>Background color for cards and panels</w:t>
            </w:r>
          </w:p>
        </w:tc>
      </w:tr>
      <w:tr>
        <w:tc>
          <w:tcPr>
            <w:tcW w:type="dxa" w:w="2880"/>
          </w:tcPr>
          <w:p>
            <w:r>
              <w:t>Button Primary</w:t>
            </w:r>
          </w:p>
        </w:tc>
        <w:tc>
          <w:tcPr>
            <w:tcW w:type="dxa" w:w="1440"/>
          </w:tcPr>
          <w:p>
            <w:r>
              <w:t>Color</w:t>
            </w:r>
          </w:p>
        </w:tc>
        <w:tc>
          <w:tcPr>
            <w:tcW w:type="dxa" w:w="5040"/>
          </w:tcPr>
          <w:p>
            <w:r>
              <w:t>Primary action button color</w:t>
            </w:r>
          </w:p>
        </w:tc>
      </w:tr>
      <w:tr>
        <w:tc>
          <w:tcPr>
            <w:tcW w:type="dxa" w:w="2880"/>
          </w:tcPr>
          <w:p>
            <w:r>
              <w:t>Success Color</w:t>
            </w:r>
          </w:p>
        </w:tc>
        <w:tc>
          <w:tcPr>
            <w:tcW w:type="dxa" w:w="1440"/>
          </w:tcPr>
          <w:p>
            <w:r>
              <w:t>Color</w:t>
            </w:r>
          </w:p>
        </w:tc>
        <w:tc>
          <w:tcPr>
            <w:tcW w:type="dxa" w:w="5040"/>
          </w:tcPr>
          <w:p>
            <w:r>
              <w:t>Color for success indicators</w:t>
            </w:r>
          </w:p>
        </w:tc>
      </w:tr>
      <w:tr>
        <w:tc>
          <w:tcPr>
            <w:tcW w:type="dxa" w:w="2880"/>
          </w:tcPr>
          <w:p>
            <w:r>
              <w:t>Warning Color</w:t>
            </w:r>
          </w:p>
        </w:tc>
        <w:tc>
          <w:tcPr>
            <w:tcW w:type="dxa" w:w="1440"/>
          </w:tcPr>
          <w:p>
            <w:r>
              <w:t>Color</w:t>
            </w:r>
          </w:p>
        </w:tc>
        <w:tc>
          <w:tcPr>
            <w:tcW w:type="dxa" w:w="5040"/>
          </w:tcPr>
          <w:p>
            <w:r>
              <w:t>Color for warning indicators</w:t>
            </w:r>
          </w:p>
        </w:tc>
      </w:tr>
      <w:tr>
        <w:tc>
          <w:tcPr>
            <w:tcW w:type="dxa" w:w="2880"/>
          </w:tcPr>
          <w:p>
            <w:r>
              <w:t>Error Color</w:t>
            </w:r>
          </w:p>
        </w:tc>
        <w:tc>
          <w:tcPr>
            <w:tcW w:type="dxa" w:w="1440"/>
          </w:tcPr>
          <w:p>
            <w:r>
              <w:t>Color</w:t>
            </w:r>
          </w:p>
        </w:tc>
        <w:tc>
          <w:tcPr>
            <w:tcW w:type="dxa" w:w="5040"/>
          </w:tcPr>
          <w:p>
            <w:r>
              <w:t>Color for error indicators</w:t>
            </w:r>
          </w:p>
        </w:tc>
      </w:tr>
    </w:tbl>
    <w:p/>
    <w:p>
      <w:pPr>
        <w:pStyle w:val="Heading2"/>
      </w:pPr>
      <w:r>
        <w:t>10.2 Dark Mode</w:t>
      </w:r>
    </w:p>
    <w:p>
      <w:r>
        <w:rPr>
          <w:b w:val="0"/>
          <w:i w:val="0"/>
        </w:rPr>
        <w:t>Dark Mode provides a darker color scheme that reduces eye strain in low-light environments and can save battery on OLED displays.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Navigate to Settings &gt; Theme Settings tab</w:t>
      </w:r>
    </w:p>
    <w:p>
      <w:r>
        <w:rPr>
          <w:b/>
          <w:color w:val="0066CC"/>
        </w:rPr>
        <w:t xml:space="preserve">Step 2: </w:t>
      </w:r>
      <w:r>
        <w:t>Toggle 'Dark Theme' to ON</w:t>
      </w:r>
    </w:p>
    <w:p>
      <w:r>
        <w:rPr>
          <w:b/>
          <w:color w:val="0066CC"/>
        </w:rPr>
        <w:t xml:space="preserve">Step 3: </w:t>
      </w:r>
      <w:r>
        <w:t>Click 'Save Changes'</w:t>
      </w:r>
    </w:p>
    <w:p>
      <w:r>
        <w:rPr>
          <w:b/>
          <w:color w:val="0066CC"/>
        </w:rPr>
        <w:t xml:space="preserve">Step 4: </w:t>
      </w:r>
      <w:r>
        <w:t>The interface immediately switches to dark mode</w:t>
      </w:r>
    </w:p>
    <w:p>
      <w:r>
        <w:rPr>
          <w:b/>
          <w:color w:val="0066CC"/>
        </w:rPr>
        <w:t xml:space="preserve">Step 5: </w:t>
      </w:r>
      <w:r>
        <w:t>All components including forms, dialogs, and menus respect dark mode</w:t>
      </w:r>
    </w:p>
    <w:p>
      <w:pPr>
        <w:pStyle w:val="Heading2"/>
      </w:pPr>
      <w:r>
        <w:t>10.3 Dark Mode Features</w:t>
      </w:r>
    </w:p>
    <w:p>
      <w:pPr>
        <w:pStyle w:val="ListBullet"/>
      </w:pPr>
      <w:r>
        <w:t>Applies to all pages including workflow builder and forms</w:t>
      </w:r>
    </w:p>
    <w:p>
      <w:pPr>
        <w:pStyle w:val="ListBullet"/>
      </w:pPr>
      <w:r>
        <w:t>Dialog boxes and modals use dark backgrounds</w:t>
      </w:r>
    </w:p>
    <w:p>
      <w:pPr>
        <w:pStyle w:val="ListBullet"/>
      </w:pPr>
      <w:r>
        <w:t>Form fields have appropriate dark styling</w:t>
      </w:r>
    </w:p>
    <w:p>
      <w:pPr>
        <w:pStyle w:val="ListBullet"/>
      </w:pPr>
      <w:r>
        <w:t>Tables and lists have dark backgrounds</w:t>
      </w:r>
    </w:p>
    <w:p>
      <w:pPr>
        <w:pStyle w:val="ListBullet"/>
      </w:pPr>
      <w:r>
        <w:t>Settings persist across sessions</w:t>
      </w:r>
    </w:p>
    <w:p>
      <w:pPr>
        <w:pStyle w:val="ListBullet"/>
      </w:pPr>
      <w:r>
        <w:t>Works with custom color schemes</w:t>
      </w:r>
    </w:p>
    <w:p>
      <w:pPr>
        <w:ind w:left="360" w:right="360"/>
      </w:pPr>
      <w:r>
        <w:rPr>
          <w:b/>
          <w:color w:val="0066CC"/>
        </w:rPr>
        <w:t xml:space="preserve">NOTE: </w:t>
      </w:r>
      <w:r>
        <w:t>Dark mode settings are stored per-user in local storage for faster loading on return visits.</w:t>
      </w:r>
    </w:p>
    <w:p>
      <w:pPr>
        <w:pStyle w:val="Heading2"/>
      </w:pPr>
      <w:r>
        <w:t>10.4 Applying Theme Changes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Navigate to Settings &gt; Theme tab</w:t>
      </w:r>
    </w:p>
    <w:p>
      <w:r>
        <w:rPr>
          <w:b/>
          <w:color w:val="0066CC"/>
        </w:rPr>
        <w:t xml:space="preserve">Step 2: </w:t>
      </w:r>
      <w:r>
        <w:t>Adjust colors using color pickers</w:t>
      </w:r>
    </w:p>
    <w:p>
      <w:r>
        <w:rPr>
          <w:b/>
          <w:color w:val="0066CC"/>
        </w:rPr>
        <w:t xml:space="preserve">Step 3: </w:t>
      </w:r>
      <w:r>
        <w:t>Preview changes in real-time (some elements)</w:t>
      </w:r>
    </w:p>
    <w:p>
      <w:r>
        <w:rPr>
          <w:b/>
          <w:color w:val="0066CC"/>
        </w:rPr>
        <w:t xml:space="preserve">Step 4: </w:t>
      </w:r>
      <w:r>
        <w:t>Click 'Save Changes' to apply</w:t>
      </w:r>
    </w:p>
    <w:p>
      <w:r>
        <w:rPr>
          <w:b/>
          <w:color w:val="0066CC"/>
        </w:rPr>
        <w:t xml:space="preserve">Step 5: </w:t>
      </w:r>
      <w:r>
        <w:t>Refresh the browser if some elements don't update immediately</w:t>
      </w:r>
    </w:p>
    <w:p>
      <w:pPr>
        <w:pStyle w:val="Heading1"/>
      </w:pPr>
      <w:r>
        <w:t>11. Import/Export</w:t>
      </w:r>
    </w:p>
    <w:p>
      <w:pPr>
        <w:pStyle w:val="Heading2"/>
      </w:pPr>
      <w:r>
        <w:t>11.1 Export Settings</w:t>
      </w:r>
    </w:p>
    <w:p>
      <w:r>
        <w:rPr>
          <w:b w:val="0"/>
          <w:i w:val="0"/>
        </w:rPr>
        <w:t>Export system configuration as JSON for backup or migration: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Navigate to Settings &gt; Export</w:t>
      </w:r>
    </w:p>
    <w:p>
      <w:r>
        <w:rPr>
          <w:b/>
          <w:color w:val="0066CC"/>
        </w:rPr>
        <w:t xml:space="preserve">Step 2: </w:t>
      </w:r>
      <w:r>
        <w:t>Select items to export</w:t>
      </w:r>
    </w:p>
    <w:p>
      <w:r>
        <w:rPr>
          <w:b/>
          <w:color w:val="0066CC"/>
        </w:rPr>
        <w:t xml:space="preserve">Step 3: </w:t>
      </w:r>
      <w:r>
        <w:t>Click 'Export Settings'</w:t>
      </w:r>
    </w:p>
    <w:p>
      <w:r>
        <w:rPr>
          <w:b/>
          <w:color w:val="0066CC"/>
        </w:rPr>
        <w:t xml:space="preserve">Step 4: </w:t>
      </w:r>
      <w:r>
        <w:t>Save the JSON file</w:t>
      </w:r>
    </w:p>
    <w:p>
      <w:pPr>
        <w:pStyle w:val="Heading2"/>
      </w:pPr>
      <w:r>
        <w:t>11.2 Import Settings</w:t>
      </w:r>
    </w:p>
    <w:p>
      <w:r>
        <w:rPr>
          <w:b/>
          <w:i w:val="0"/>
        </w:rPr>
        <w:t>Steps:</w:t>
      </w:r>
    </w:p>
    <w:p>
      <w:r>
        <w:rPr>
          <w:b/>
          <w:color w:val="0066CC"/>
        </w:rPr>
        <w:t xml:space="preserve">Step 1: </w:t>
      </w:r>
      <w:r>
        <w:t>Navigate to Settings &gt; Import</w:t>
      </w:r>
    </w:p>
    <w:p>
      <w:r>
        <w:rPr>
          <w:b/>
          <w:color w:val="0066CC"/>
        </w:rPr>
        <w:t xml:space="preserve">Step 2: </w:t>
      </w:r>
      <w:r>
        <w:t>Click 'Choose File' and select JSON</w:t>
      </w:r>
    </w:p>
    <w:p>
      <w:r>
        <w:rPr>
          <w:b/>
          <w:color w:val="0066CC"/>
        </w:rPr>
        <w:t xml:space="preserve">Step 3: </w:t>
      </w:r>
      <w:r>
        <w:t>Review the import preview</w:t>
      </w:r>
    </w:p>
    <w:p>
      <w:r>
        <w:rPr>
          <w:b/>
          <w:color w:val="0066CC"/>
        </w:rPr>
        <w:t xml:space="preserve">Step 4: </w:t>
      </w:r>
      <w:r>
        <w:t>Click 'Import' to apply</w:t>
      </w:r>
    </w:p>
    <w:p>
      <w:r>
        <w:rPr>
          <w:b/>
          <w:color w:val="0066CC"/>
        </w:rPr>
        <w:t xml:space="preserve">Step 5: </w:t>
      </w:r>
      <w:r>
        <w:t>Verify settings after import</w:t>
      </w:r>
    </w:p>
    <w:p>
      <w:pPr>
        <w:pStyle w:val="Heading2"/>
      </w:pPr>
      <w:r>
        <w:t>11.3 Excel Import/Export</w:t>
      </w:r>
    </w:p>
    <w:p>
      <w:r>
        <w:rPr>
          <w:b w:val="0"/>
          <w:i w:val="0"/>
        </w:rPr>
        <w:t>Import and export data using Excel templates: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2520"/>
            <w:shd w:fill="003366"/>
          </w:tcPr>
          <w:p>
            <w:r>
              <w:rPr>
                <w:b/>
                <w:color w:val="FFFFFF"/>
              </w:rPr>
              <w:t>Export</w:t>
            </w:r>
          </w:p>
        </w:tc>
        <w:tc>
          <w:tcPr>
            <w:tcW w:type="dxa" w:w="2520"/>
            <w:shd w:fill="003366"/>
          </w:tcPr>
          <w:p>
            <w:r>
              <w:rPr>
                <w:b/>
                <w:color w:val="FFFFFF"/>
              </w:rPr>
              <w:t>Import</w:t>
            </w:r>
          </w:p>
        </w:tc>
      </w:tr>
      <w:tr>
        <w:tc>
          <w:tcPr>
            <w:tcW w:type="dxa" w:w="3600"/>
          </w:tcPr>
          <w:p>
            <w:r>
              <w:t>Users</w:t>
            </w:r>
          </w:p>
        </w:tc>
        <w:tc>
          <w:tcPr>
            <w:tcW w:type="dxa" w:w="2520"/>
          </w:tcPr>
          <w:p>
            <w:r>
              <w:t>Yes</w:t>
            </w:r>
          </w:p>
        </w:tc>
        <w:tc>
          <w:tcPr>
            <w:tcW w:type="dxa" w:w="2520"/>
          </w:tcPr>
          <w:p>
            <w:r>
              <w:t>Yes</w:t>
            </w:r>
          </w:p>
        </w:tc>
      </w:tr>
      <w:tr>
        <w:tc>
          <w:tcPr>
            <w:tcW w:type="dxa" w:w="3600"/>
          </w:tcPr>
          <w:p>
            <w:r>
              <w:t>Roles</w:t>
            </w:r>
          </w:p>
        </w:tc>
        <w:tc>
          <w:tcPr>
            <w:tcW w:type="dxa" w:w="2520"/>
          </w:tcPr>
          <w:p>
            <w:r>
              <w:t>Yes</w:t>
            </w:r>
          </w:p>
        </w:tc>
        <w:tc>
          <w:tcPr>
            <w:tcW w:type="dxa" w:w="2520"/>
          </w:tcPr>
          <w:p>
            <w:r>
              <w:t>Yes</w:t>
            </w:r>
          </w:p>
        </w:tc>
      </w:tr>
      <w:tr>
        <w:tc>
          <w:tcPr>
            <w:tcW w:type="dxa" w:w="3600"/>
          </w:tcPr>
          <w:p>
            <w:r>
              <w:t>Corporates</w:t>
            </w:r>
          </w:p>
        </w:tc>
        <w:tc>
          <w:tcPr>
            <w:tcW w:type="dxa" w:w="2520"/>
          </w:tcPr>
          <w:p>
            <w:r>
              <w:t>Yes</w:t>
            </w:r>
          </w:p>
        </w:tc>
        <w:tc>
          <w:tcPr>
            <w:tcW w:type="dxa" w:w="2520"/>
          </w:tcPr>
          <w:p>
            <w:r>
              <w:t>Yes</w:t>
            </w:r>
          </w:p>
        </w:tc>
      </w:tr>
      <w:tr>
        <w:tc>
          <w:tcPr>
            <w:tcW w:type="dxa" w:w="3600"/>
          </w:tcPr>
          <w:p>
            <w:r>
              <w:t>SBUs</w:t>
            </w:r>
          </w:p>
        </w:tc>
        <w:tc>
          <w:tcPr>
            <w:tcW w:type="dxa" w:w="2520"/>
          </w:tcPr>
          <w:p>
            <w:r>
              <w:t>Yes</w:t>
            </w:r>
          </w:p>
        </w:tc>
        <w:tc>
          <w:tcPr>
            <w:tcW w:type="dxa" w:w="2520"/>
          </w:tcPr>
          <w:p>
            <w:r>
              <w:t>Yes</w:t>
            </w:r>
          </w:p>
        </w:tc>
      </w:tr>
      <w:tr>
        <w:tc>
          <w:tcPr>
            <w:tcW w:type="dxa" w:w="3600"/>
          </w:tcPr>
          <w:p>
            <w:r>
              <w:t>Branches</w:t>
            </w:r>
          </w:p>
        </w:tc>
        <w:tc>
          <w:tcPr>
            <w:tcW w:type="dxa" w:w="2520"/>
          </w:tcPr>
          <w:p>
            <w:r>
              <w:t>Yes</w:t>
            </w:r>
          </w:p>
        </w:tc>
        <w:tc>
          <w:tcPr>
            <w:tcW w:type="dxa" w:w="2520"/>
          </w:tcPr>
          <w:p>
            <w:r>
              <w:t>Yes</w:t>
            </w:r>
          </w:p>
        </w:tc>
      </w:tr>
      <w:tr>
        <w:tc>
          <w:tcPr>
            <w:tcW w:type="dxa" w:w="3600"/>
          </w:tcPr>
          <w:p>
            <w:r>
              <w:t>Departments</w:t>
            </w:r>
          </w:p>
        </w:tc>
        <w:tc>
          <w:tcPr>
            <w:tcW w:type="dxa" w:w="2520"/>
          </w:tcPr>
          <w:p>
            <w:r>
              <w:t>Yes</w:t>
            </w:r>
          </w:p>
        </w:tc>
        <w:tc>
          <w:tcPr>
            <w:tcW w:type="dxa" w:w="2520"/>
          </w:tcPr>
          <w:p>
            <w:r>
              <w:t>Yes</w:t>
            </w:r>
          </w:p>
        </w:tc>
      </w:tr>
      <w:tr>
        <w:tc>
          <w:tcPr>
            <w:tcW w:type="dxa" w:w="3600"/>
          </w:tcPr>
          <w:p>
            <w:r>
              <w:t>Categories</w:t>
            </w:r>
          </w:p>
        </w:tc>
        <w:tc>
          <w:tcPr>
            <w:tcW w:type="dxa" w:w="2520"/>
          </w:tcPr>
          <w:p>
            <w:r>
              <w:t>Yes</w:t>
            </w:r>
          </w:p>
        </w:tc>
        <w:tc>
          <w:tcPr>
            <w:tcW w:type="dxa" w:w="2520"/>
          </w:tcPr>
          <w:p>
            <w:r>
              <w:t>Yes</w:t>
            </w:r>
          </w:p>
        </w:tc>
      </w:tr>
    </w:tbl>
    <w:p/>
    <w:p>
      <w:r>
        <w:rPr>
          <w:b/>
          <w:i w:val="0"/>
        </w:rPr>
        <w:t>Using Excel Import/Export:</w:t>
      </w:r>
    </w:p>
    <w:p>
      <w:r>
        <w:rPr>
          <w:b/>
          <w:color w:val="0066CC"/>
        </w:rPr>
        <w:t xml:space="preserve">Step 1: </w:t>
      </w:r>
      <w:r>
        <w:t>Navigate to Administration &gt; Import/Export</w:t>
      </w:r>
    </w:p>
    <w:p>
      <w:r>
        <w:rPr>
          <w:b/>
          <w:color w:val="0066CC"/>
        </w:rPr>
        <w:t xml:space="preserve">Step 2: </w:t>
      </w:r>
      <w:r>
        <w:t>Select the entity type</w:t>
      </w:r>
    </w:p>
    <w:p>
      <w:r>
        <w:rPr>
          <w:b/>
          <w:color w:val="0066CC"/>
        </w:rPr>
        <w:t xml:space="preserve">Step 3: </w:t>
      </w:r>
      <w:r>
        <w:t>For import: Download template, fill data, upload</w:t>
      </w:r>
    </w:p>
    <w:p>
      <w:r>
        <w:rPr>
          <w:b/>
          <w:color w:val="0066CC"/>
        </w:rPr>
        <w:t xml:space="preserve">Step 4: </w:t>
      </w:r>
      <w:r>
        <w:t>For export: Click export and save Excel file</w:t>
      </w:r>
    </w:p>
    <w:p>
      <w:pPr>
        <w:pStyle w:val="Heading1"/>
      </w:pPr>
      <w:r>
        <w:t>12. Best Practices</w:t>
      </w:r>
    </w:p>
    <w:p>
      <w:pPr>
        <w:pStyle w:val="Heading2"/>
      </w:pPr>
      <w:r>
        <w:t>12.1 Before Changing Settings</w:t>
      </w:r>
    </w:p>
    <w:p>
      <w:pPr>
        <w:pStyle w:val="ListNumber"/>
      </w:pPr>
      <w:r>
        <w:t>Document current settings before changes</w:t>
      </w:r>
    </w:p>
    <w:p>
      <w:pPr>
        <w:pStyle w:val="ListNumber"/>
      </w:pPr>
      <w:r>
        <w:t>Test changes in non-production environment first</w:t>
      </w:r>
    </w:p>
    <w:p>
      <w:pPr>
        <w:pStyle w:val="ListNumber"/>
      </w:pPr>
      <w:r>
        <w:t>Notify users of significant changes</w:t>
      </w:r>
    </w:p>
    <w:p>
      <w:pPr>
        <w:pStyle w:val="ListNumber"/>
      </w:pPr>
      <w:r>
        <w:t>Schedule changes during low-usage periods</w:t>
      </w:r>
    </w:p>
    <w:p>
      <w:pPr>
        <w:pStyle w:val="ListNumber"/>
      </w:pPr>
      <w:r>
        <w:t>Have a rollback plan ready</w:t>
      </w:r>
    </w:p>
    <w:p>
      <w:pPr>
        <w:pStyle w:val="Heading2"/>
      </w:pPr>
      <w:r>
        <w:t>12.2 Email Configuration Tips</w:t>
      </w:r>
    </w:p>
    <w:p>
      <w:pPr>
        <w:pStyle w:val="ListBullet"/>
      </w:pPr>
      <w:r>
        <w:t>Always test email after configuration changes</w:t>
      </w:r>
    </w:p>
    <w:p>
      <w:pPr>
        <w:pStyle w:val="ListBullet"/>
      </w:pPr>
      <w:r>
        <w:t>Use dedicated email account for system notifications</w:t>
      </w:r>
    </w:p>
    <w:p>
      <w:pPr>
        <w:pStyle w:val="ListBullet"/>
      </w:pPr>
      <w:r>
        <w:t>Monitor email delivery rates</w:t>
      </w:r>
    </w:p>
    <w:p>
      <w:pPr>
        <w:pStyle w:val="ListBullet"/>
      </w:pPr>
      <w:r>
        <w:t>Set up SPF/DKIM records for deliverability</w:t>
      </w:r>
    </w:p>
    <w:p>
      <w:pPr>
        <w:pStyle w:val="ListBullet"/>
      </w:pPr>
      <w:r>
        <w:t>Consider email rate limits</w:t>
      </w:r>
    </w:p>
    <w:p>
      <w:pPr>
        <w:pStyle w:val="ListBullet"/>
      </w:pPr>
      <w:r>
        <w:t>Use API-based providers (SendGrid, Mailgun) for high volume</w:t>
      </w:r>
    </w:p>
    <w:p>
      <w:pPr>
        <w:pStyle w:val="Heading2"/>
      </w:pPr>
      <w:r>
        <w:t>12.3 Security Recommendations</w:t>
      </w:r>
    </w:p>
    <w:p>
      <w:pPr>
        <w:pStyle w:val="ListBullet"/>
      </w:pPr>
      <w:r>
        <w:t>Use strong password policies</w:t>
      </w:r>
    </w:p>
    <w:p>
      <w:pPr>
        <w:pStyle w:val="ListBullet"/>
      </w:pPr>
      <w:r>
        <w:t>Enable account lockout protection</w:t>
      </w:r>
    </w:p>
    <w:p>
      <w:pPr>
        <w:pStyle w:val="ListBullet"/>
      </w:pPr>
      <w:r>
        <w:t>Review security settings quarterly</w:t>
      </w:r>
    </w:p>
    <w:p>
      <w:pPr>
        <w:pStyle w:val="ListBullet"/>
      </w:pPr>
      <w:r>
        <w:t>Monitor failed login attempts</w:t>
      </w:r>
    </w:p>
    <w:p>
      <w:pPr>
        <w:pStyle w:val="ListBullet"/>
      </w:pPr>
      <w:r>
        <w:t>Keep session timeouts reasonable</w:t>
      </w:r>
    </w:p>
    <w:p>
      <w:pPr>
        <w:pStyle w:val="Heading2"/>
      </w:pPr>
      <w:r>
        <w:t>12.4 Troubleshooting Settings Issues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Issue</w:t>
            </w:r>
          </w:p>
        </w:tc>
        <w:tc>
          <w:tcPr>
            <w:tcW w:type="dxa" w:w="5760"/>
            <w:shd w:fill="003366"/>
          </w:tcPr>
          <w:p>
            <w:r>
              <w:rPr>
                <w:b/>
                <w:color w:val="FFFFFF"/>
              </w:rPr>
              <w:t>Solution</w:t>
            </w:r>
          </w:p>
        </w:tc>
      </w:tr>
      <w:tr>
        <w:tc>
          <w:tcPr>
            <w:tcW w:type="dxa" w:w="3600"/>
          </w:tcPr>
          <w:p>
            <w:r>
              <w:t>Settings not saving</w:t>
            </w:r>
          </w:p>
        </w:tc>
        <w:tc>
          <w:tcPr>
            <w:tcW w:type="dxa" w:w="5760"/>
          </w:tcPr>
          <w:p>
            <w:r>
              <w:t>Check permissions, refresh page, clear cache</w:t>
            </w:r>
          </w:p>
        </w:tc>
      </w:tr>
      <w:tr>
        <w:tc>
          <w:tcPr>
            <w:tcW w:type="dxa" w:w="3600"/>
          </w:tcPr>
          <w:p>
            <w:r>
              <w:t>Email not sending</w:t>
            </w:r>
          </w:p>
        </w:tc>
        <w:tc>
          <w:tcPr>
            <w:tcW w:type="dxa" w:w="5760"/>
          </w:tcPr>
          <w:p>
            <w:r>
              <w:t>Verify protocol settings, test connection, check credentials</w:t>
            </w:r>
          </w:p>
        </w:tc>
      </w:tr>
      <w:tr>
        <w:tc>
          <w:tcPr>
            <w:tcW w:type="dxa" w:w="3600"/>
          </w:tcPr>
          <w:p>
            <w:r>
              <w:t>Users locked out unexpectedly</w:t>
            </w:r>
          </w:p>
        </w:tc>
        <w:tc>
          <w:tcPr>
            <w:tcW w:type="dxa" w:w="5760"/>
          </w:tcPr>
          <w:p>
            <w:r>
              <w:t>Review lockout policy, check for brute force attacks</w:t>
            </w:r>
          </w:p>
        </w:tc>
      </w:tr>
      <w:tr>
        <w:tc>
          <w:tcPr>
            <w:tcW w:type="dxa" w:w="3600"/>
          </w:tcPr>
          <w:p>
            <w:r>
              <w:t>Theme not applying</w:t>
            </w:r>
          </w:p>
        </w:tc>
        <w:tc>
          <w:tcPr>
            <w:tcW w:type="dxa" w:w="5760"/>
          </w:tcPr>
          <w:p>
            <w:r>
              <w:t>Clear browser cache, check user preference override</w:t>
            </w:r>
          </w:p>
        </w:tc>
      </w:tr>
      <w:tr>
        <w:tc>
          <w:tcPr>
            <w:tcW w:type="dxa" w:w="3600"/>
          </w:tcPr>
          <w:p>
            <w:r>
              <w:t>Dark mode not working</w:t>
            </w:r>
          </w:p>
        </w:tc>
        <w:tc>
          <w:tcPr>
            <w:tcW w:type="dxa" w:w="5760"/>
          </w:tcPr>
          <w:p>
            <w:r>
              <w:t>Ensure theme settings saved, refresh page</w:t>
            </w:r>
          </w:p>
        </w:tc>
      </w:tr>
      <w:tr>
        <w:tc>
          <w:tcPr>
            <w:tcW w:type="dxa" w:w="3600"/>
          </w:tcPr>
          <w:p>
            <w:r>
              <w:t>Email test fails</w:t>
            </w:r>
          </w:p>
        </w:tc>
        <w:tc>
          <w:tcPr>
            <w:tcW w:type="dxa" w:w="5760"/>
          </w:tcPr>
          <w:p>
            <w:r>
              <w:t>Check firewall, verify credentials, try different protocol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4C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66C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