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Consolidated Review Standards</w:t>
      </w:r>
    </w:p>
    <w:p>
      <w:pPr>
        <w:jc w:val="center"/>
      </w:pPr>
      <w:r>
        <w:rPr>
          <w:rFonts w:ascii="Aptos" w:hAnsi="Aptos"/>
          <w:color w:val="666666"/>
          <w:sz w:val="22"/>
        </w:rPr>
        <w:t>Single source of truth for how Project Omega finance tasks are reviewed</w:t>
      </w:r>
    </w:p>
    <w:p>
      <w:pPr>
        <w:jc w:val="center"/>
      </w:pPr>
      <w:r>
        <w:rPr>
          <w:color w:val="666666"/>
          <w:sz w:val="17"/>
        </w:rPr>
        <w:t>Project Omega | Finance &amp; Insurance reviewer knowledge pack | 25 Sep 2026</w:t>
      </w:r>
    </w:p>
    <w:p/>
    <w:p>
      <w:pPr>
        <w:pStyle w:val="Heading1"/>
      </w:pPr>
      <w:r>
        <w:t>1. Reviewer operating principle</w:t>
      </w:r>
    </w:p>
    <w:p>
      <w:r>
        <w:t>The reviewer protects benchmark integrity. The objective is not to maximize the number of issues or to make the task “better” by preference; it is to determine whether the task, evidence, output and scoring logic are materially correct, fair, executable and professionally realistic.</w:t>
      </w:r>
    </w:p>
    <w:p>
      <w:pPr>
        <w:pStyle w:val="Heading1"/>
      </w:pPr>
      <w:r>
        <w:t>2. Five gates and the object being judged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20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Primary object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Core question</w:t>
            </w:r>
          </w:p>
        </w:tc>
        <w:tc>
          <w:tcPr>
            <w:tcW w:type="dxa" w:w="32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Default action if defective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Trainer Review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Task integrity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the task itself realistic, supported, coherent, executable and gradeable?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 only the defective artifact; regenerate and re-review.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 Output Review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Model quality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Did each attempt correctly perform the requested finance work from the supplied evidence?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Log every material issue by deliverable and severity.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Golden Data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Benchmark answer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Is the selected solution expert-grade, complete, traceable and internally consistent?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Fix root cause and every downstream consequence.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Sample Calibration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Scoring quality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the verifiers grade real obligations fairly and consistently?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Grade blindly, then reconcile; flag bad verifiers or golden defects.</w:t>
            </w:r>
          </w:p>
        </w:tc>
      </w:tr>
      <w:t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Final Review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Ship quality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the entire latest package survive an independent audit?</w:t>
            </w:r>
          </w:p>
        </w:tc>
        <w:tc>
          <w:tcPr>
            <w:tcW w:type="dxa" w:w="32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Any material defect blocks ship.</w:t>
            </w:r>
          </w:p>
        </w:tc>
      </w:tr>
    </w:tbl>
    <w:p>
      <w:pPr>
        <w:spacing w:after="40"/>
      </w:pPr>
    </w:p>
    <w:p>
      <w:pPr>
        <w:pStyle w:val="Heading1"/>
      </w:pPr>
      <w:r>
        <w:t>3. Trainer Review — artifact standards</w:t>
      </w:r>
    </w:p>
    <w:p>
      <w:pPr>
        <w:pStyle w:val="Heading2"/>
      </w:pPr>
      <w:r>
        <w:t>3.1 Task Design</w:t>
      </w:r>
    </w:p>
    <w:p>
      <w:pPr>
        <w:pStyle w:val="ListBullet"/>
        <w:spacing w:after="40"/>
      </w:pPr>
      <w:r>
        <w:t>Scenario reflects work a real finance professional would plausibly perform.</w:t>
      </w:r>
    </w:p>
    <w:p>
      <w:pPr>
        <w:pStyle w:val="ListBullet"/>
        <w:spacing w:after="40"/>
      </w:pPr>
      <w:r>
        <w:t>Task requires domain judgment / headroom rather than retrieval, rote formulas, or ambiguous wording.</w:t>
      </w:r>
    </w:p>
    <w:p>
      <w:pPr>
        <w:pStyle w:val="ListBullet"/>
        <w:spacing w:after="40"/>
      </w:pPr>
      <w:r>
        <w:t>Task is solvable entirely on a computer using the supplied materials.</w:t>
      </w:r>
    </w:p>
    <w:p>
      <w:pPr>
        <w:pStyle w:val="ListBullet"/>
        <w:spacing w:after="40"/>
      </w:pPr>
      <w:r>
        <w:t>Planned anomalies are realistic and unlabeled; they do not give away the answer.</w:t>
      </w:r>
    </w:p>
    <w:p>
      <w:pPr>
        <w:pStyle w:val="ListBullet"/>
        <w:spacing w:after="40"/>
      </w:pPr>
      <w:r>
        <w:t>Role, sector, occupation, deliverables, timing and decision context are mutually consistent.</w:t>
      </w:r>
    </w:p>
    <w:p>
      <w:pPr>
        <w:pStyle w:val="Heading2"/>
      </w:pPr>
      <w:r>
        <w:t>3.2 Source Data</w:t>
      </w:r>
    </w:p>
    <w:p>
      <w:pPr>
        <w:pStyle w:val="ListBullet"/>
        <w:spacing w:after="40"/>
      </w:pPr>
      <w:r>
        <w:t>Every referenced file exists, is on-topic, and looks like the natural genre of the underlying record.</w:t>
      </w:r>
    </w:p>
    <w:p>
      <w:pPr>
        <w:pStyle w:val="ListBullet"/>
        <w:spacing w:after="40"/>
      </w:pPr>
      <w:r>
        <w:t>No source directly publishes the answer, expected output, exception flag, supported balance, or close handling the solver is supposed to derive.</w:t>
      </w:r>
    </w:p>
    <w:p>
      <w:pPr>
        <w:pStyle w:val="ListBullet"/>
        <w:spacing w:after="40"/>
      </w:pPr>
      <w:r>
        <w:t>Shared IDs, entity names, dates, totals, units, currencies and period populations reconcile unless a mismatch is the intended anomaly.</w:t>
      </w:r>
    </w:p>
    <w:p>
      <w:pPr>
        <w:pStyle w:val="ListBullet"/>
        <w:spacing w:after="40"/>
      </w:pPr>
      <w:r>
        <w:t>Source dates and events respect the stated cutoff; no event is silently pulled from after the measurement window.</w:t>
      </w:r>
    </w:p>
    <w:p>
      <w:pPr>
        <w:pStyle w:val="ListBullet"/>
        <w:spacing w:after="40"/>
      </w:pPr>
      <w:r>
        <w:t>Source files do not carry accidental duplicates, broken running balances, impossible values, invalid formulas without cached values, or missing rows required to solve the task.</w:t>
      </w:r>
    </w:p>
    <w:p>
      <w:pPr>
        <w:pStyle w:val="ListBullet"/>
        <w:spacing w:after="40"/>
      </w:pPr>
      <w:r>
        <w:t>The task cannot be solved correctly from one file alone when cross-file reasoning is intended.</w:t>
      </w:r>
    </w:p>
    <w:p>
      <w:pPr>
        <w:pStyle w:val="Heading2"/>
      </w:pPr>
      <w:r>
        <w:t>3.3 Prompt</w:t>
      </w:r>
    </w:p>
    <w:p>
      <w:pPr>
        <w:pStyle w:val="ListBullet"/>
        <w:spacing w:after="40"/>
      </w:pPr>
      <w:r>
        <w:t>The ask is verifiable from supplied sources alone and aligns with the task design.</w:t>
      </w:r>
    </w:p>
    <w:p>
      <w:pPr>
        <w:pStyle w:val="ListBullet"/>
        <w:spacing w:after="40"/>
      </w:pPr>
      <w:r>
        <w:t>Two experts should converge on the material deliverable even if their presentation differs.</w:t>
      </w:r>
    </w:p>
    <w:p>
      <w:pPr>
        <w:pStyle w:val="ListBullet"/>
        <w:spacing w:after="40"/>
      </w:pPr>
      <w:r>
        <w:t>Constraints that control the decision—source authority, cutoff, exclusions, no-invention rules, output formats—are explicit enough to prevent unfair grading.</w:t>
      </w:r>
    </w:p>
    <w:p>
      <w:pPr>
        <w:pStyle w:val="ListBullet"/>
        <w:spacing w:after="40"/>
      </w:pPr>
      <w:r>
        <w:t>The prompt states what to determine, not a step-by-step method, unless the method itself is a business requirement.</w:t>
      </w:r>
    </w:p>
    <w:p>
      <w:pPr>
        <w:pStyle w:val="ListBullet"/>
        <w:spacing w:after="40"/>
      </w:pPr>
      <w:r>
        <w:t>The strict output contract agrees with the narrative body and names every required deliverable and format.</w:t>
      </w:r>
    </w:p>
    <w:p>
      <w:pPr>
        <w:pStyle w:val="Heading2"/>
      </w:pPr>
      <w:r>
        <w:t>3.4 Verifiers</w:t>
      </w:r>
    </w:p>
    <w:p>
      <w:pPr>
        <w:pStyle w:val="ListBullet"/>
        <w:spacing w:after="40"/>
      </w:pPr>
      <w:r>
        <w:t>Each verifier has one clear owner concept and can be judged from its declared output file.</w:t>
      </w:r>
    </w:p>
    <w:p>
      <w:pPr>
        <w:pStyle w:val="ListBullet"/>
        <w:spacing w:after="40"/>
      </w:pPr>
      <w:r>
        <w:t>Pass/fail anchors are explicit; vague adjectives have practical boundaries.</w:t>
      </w:r>
    </w:p>
    <w:p>
      <w:pPr>
        <w:pStyle w:val="ListBullet"/>
        <w:spacing w:after="40"/>
      </w:pPr>
      <w:r>
        <w:t>Every requirement is grounded and fair; no accounting, covenant, business or presentation rule is invented.</w:t>
      </w:r>
    </w:p>
    <w:p>
      <w:pPr>
        <w:pStyle w:val="ListBullet"/>
        <w:spacing w:after="40"/>
      </w:pPr>
      <w:r>
        <w:t>Coverage spans every material prompt obligation but avoids re-grading the same property twice.</w:t>
      </w:r>
    </w:p>
    <w:p>
      <w:pPr>
        <w:pStyle w:val="ListBullet"/>
        <w:spacing w:after="40"/>
      </w:pPr>
      <w:r>
        <w:t>Core checks cover correctness and required outcomes; secondary checks distinguish stronger correct work from weaker correct work.</w:t>
      </w:r>
    </w:p>
    <w:p>
      <w:pPr>
        <w:pStyle w:val="ListBullet"/>
        <w:spacing w:after="40"/>
      </w:pPr>
      <w:r>
        <w:t>No verifier is blocked by platform limitations such as cross-file access or extraction truncation.</w:t>
      </w:r>
    </w:p>
    <w:p>
      <w:pPr>
        <w:pStyle w:val="Heading1"/>
      </w:pPr>
      <w:r>
        <w:t>4. Cross-file tie-out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65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Tie-out family</w:t>
            </w:r>
          </w:p>
        </w:tc>
        <w:tc>
          <w:tcPr>
            <w:tcW w:type="dxa" w:w="40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What to compare</w:t>
            </w:r>
          </w:p>
        </w:tc>
        <w:tc>
          <w:tcPr>
            <w:tcW w:type="dxa" w:w="53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Typical failure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Identity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Entity IDs, facility IDs, account numbers, invoice IDs, instrument IDs, customer/vendor names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Same economic item carried twice because formatting differs; missing master key.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Measurement date, effective date, approval timestamp, value date, cutoff, maturity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New rate applied to old period; promise date treated as usable cash date.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Amounts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Detail-to-summary totals, balances, cash, debt, reserves, consideration, expenses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Summary differs from underlying detail; correct number used on wrong basis.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Definitions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EBITDA, leverage, liquidity, NAV, earned premium, reserve, coverage, “available cash”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Definition changes mid-series but trend is presented as comparable.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Units / currency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USD vs local currency, thousands vs full units, gross vs net, par vs carrying value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Native currency carried into USD field; gross notional treated as cash.</w:t>
            </w:r>
          </w:p>
        </w:tc>
      </w:tr>
      <w:tr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Status / approval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Draft vs approved, routed vs committed, review vs final authorization</w:t>
            </w:r>
          </w:p>
        </w:tc>
        <w:tc>
          <w:tcPr>
            <w:tcW w:type="dxa" w:w="532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Downstream work advances from a request that never became effective.</w:t>
            </w:r>
          </w:p>
        </w:tc>
      </w:tr>
    </w:tbl>
    <w:p>
      <w:pPr>
        <w:spacing w:after="40"/>
      </w:pPr>
    </w:p>
    <w:p>
      <w:pPr>
        <w:pStyle w:val="Heading1"/>
      </w:pPr>
      <w:r>
        <w:t>5. Recompute / cross-foot standard</w:t>
      </w:r>
    </w:p>
    <w:p>
      <w:pPr>
        <w:pStyle w:val="ListBullet"/>
        <w:spacing w:after="40"/>
      </w:pPr>
      <w:r>
        <w:t>Rebuild the smallest independent chain that can prove or disprove each material output. Do not rely on the same formula cell the output uses.</w:t>
      </w:r>
    </w:p>
    <w:p>
      <w:pPr>
        <w:pStyle w:val="ListBullet"/>
        <w:spacing w:after="40"/>
      </w:pPr>
      <w:r>
        <w:t>Tie totals in both directions when possible: detail → summary and summary → supporting population.</w:t>
      </w:r>
    </w:p>
    <w:p>
      <w:pPr>
        <w:pStyle w:val="ListBullet"/>
        <w:spacing w:after="40"/>
      </w:pPr>
      <w:r>
        <w:t>Check displayed rounding separately from full-precision logic; rounded components should not falsely appear to reconcile when the underlying values do not.</w:t>
      </w:r>
    </w:p>
    <w:p>
      <w:pPr>
        <w:pStyle w:val="ListBullet"/>
        <w:spacing w:after="40"/>
      </w:pPr>
      <w:r>
        <w:t>A material ratio must use the base its label claims. Confirm numerator, denominator, date and definition.</w:t>
      </w:r>
    </w:p>
    <w:p>
      <w:pPr>
        <w:pStyle w:val="ListBullet"/>
        <w:spacing w:after="40"/>
      </w:pPr>
      <w:r>
        <w:t>When a result is sensitive to a legitimate unresolved interpretation, show a primary conclusion plus bounded sensitivity rather than hiding the uncertainty.</w:t>
      </w:r>
    </w:p>
    <w:p>
      <w:pPr>
        <w:pStyle w:val="Heading1"/>
      </w:pPr>
      <w:r>
        <w:t>6. Model Output Review issue 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Axis</w:t>
            </w:r>
          </w:p>
        </w:tc>
        <w:tc>
          <w:tcPr>
            <w:tcW w:type="dxa" w:w="835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Reject / log when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Instruction-following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output answers a different question, ignores an explicit constraint, or omits a required deliverable / audience.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Correctness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fact, formula, tie-out, timing conclusion, authority call, classification or recommendation is materially wrong.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Completeness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analysis, decision support, risk, bridge, sensitivity, owner/action, source linkage, or section is missing.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Format / deliverable compliance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Required structure/file format is violated in a way that affects use or grading.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Hallucination / fabrication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output invents a source fact, approval, rule, number, event or citation.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 integrity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Amounts are internally inconsistent, malformed, duplicated, stale, or cannot reconcile.</w:t>
            </w:r>
          </w:p>
        </w:tc>
      </w:tr>
      <w:t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Coherence / integration</w:t>
            </w:r>
          </w:p>
        </w:tc>
        <w:tc>
          <w:tcPr>
            <w:tcW w:type="dxa" w:w="8352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Workbook, memo and deck disagree or the recommendation is not supported by the analysis.</w:t>
            </w:r>
          </w:p>
        </w:tc>
      </w:tr>
    </w:tbl>
    <w:p>
      <w:pPr>
        <w:spacing w:after="40"/>
      </w:pPr>
    </w:p>
    <w:p>
      <w:pPr>
        <w:pStyle w:val="Heading1"/>
      </w:pPr>
      <w:r>
        <w:t>7. Golden Data quality standard</w:t>
      </w:r>
    </w:p>
    <w:p>
      <w:pPr>
        <w:pStyle w:val="ListBullet"/>
        <w:spacing w:after="40"/>
      </w:pPr>
      <w:r>
        <w:t>Every carried-forward issue is resolved in the latest version, not just mentioned as fixed.</w:t>
      </w:r>
    </w:p>
    <w:p>
      <w:pPr>
        <w:pStyle w:val="ListBullet"/>
        <w:spacing w:after="40"/>
      </w:pPr>
      <w:r>
        <w:t>Root-cause corrections flow through formulas, charts, tables, narrative and recommendation.</w:t>
      </w:r>
    </w:p>
    <w:p>
      <w:pPr>
        <w:pStyle w:val="ListBullet"/>
        <w:spacing w:after="40"/>
      </w:pPr>
      <w:r>
        <w:t>Reasoning document (when required) contains step-by-step logic, intermediate values with labels, and explicit source linkage.</w:t>
      </w:r>
    </w:p>
    <w:p>
      <w:pPr>
        <w:pStyle w:val="ListBullet"/>
        <w:spacing w:after="40"/>
      </w:pPr>
      <w:r>
        <w:t>No required convention exists only in Reasoning; business deliverables stand on their own.</w:t>
      </w:r>
    </w:p>
    <w:p>
      <w:pPr>
        <w:pStyle w:val="ListBullet"/>
        <w:spacing w:after="40"/>
      </w:pPr>
      <w:r>
        <w:t>Workbook contains auditable assumptions, checks and source traceability; no hidden hard-coded “answers” where formulas are expected.</w:t>
      </w:r>
    </w:p>
    <w:p>
      <w:pPr>
        <w:pStyle w:val="ListBullet"/>
        <w:spacing w:after="40"/>
      </w:pPr>
      <w:r>
        <w:t>Cross-deliverable figures, labels, recommendations, uncertainties and action timing agree.</w:t>
      </w:r>
    </w:p>
    <w:p>
      <w:pPr>
        <w:pStyle w:val="Heading1"/>
      </w:pPr>
      <w:r>
        <w:t>8. Sample Calibration standard</w:t>
      </w:r>
    </w:p>
    <w:p>
      <w:pPr>
        <w:pStyle w:val="ListBullet"/>
        <w:spacing w:after="40"/>
      </w:pPr>
      <w:r>
        <w:t>Blind grade first. Reveal the LLM judge only after the expert verdict is recorded.</w:t>
      </w:r>
    </w:p>
    <w:p>
      <w:pPr>
        <w:pStyle w:val="ListBullet"/>
        <w:spacing w:after="40"/>
      </w:pPr>
      <w:r>
        <w:t>For every verifier: source of requirement, one concept, clear bar, sufficient grader evidence, criticality.</w:t>
      </w:r>
    </w:p>
    <w:p>
      <w:pPr>
        <w:pStyle w:val="ListBullet"/>
        <w:spacing w:after="40"/>
      </w:pPr>
      <w:r>
        <w:t>Coverage gaps add checks only for real obligations. Redundancy removes duplicate ownership.</w:t>
      </w:r>
    </w:p>
    <w:p>
      <w:pPr>
        <w:pStyle w:val="ListBullet"/>
        <w:spacing w:after="40"/>
      </w:pPr>
      <w:r>
        <w:t>If the golden fails a sound verifier, fix the golden; do not weaken the verifier.</w:t>
      </w:r>
    </w:p>
    <w:p>
      <w:pPr>
        <w:pStyle w:val="ListBullet"/>
        <w:spacing w:after="40"/>
      </w:pPr>
      <w:r>
        <w:t>If a verifier is unfair, vague, overlapping or impossible under the runtime, flag it for regeneration with precise guidance.</w:t>
      </w:r>
    </w:p>
    <w:p>
      <w:pPr>
        <w:pStyle w:val="Heading1"/>
      </w:pPr>
      <w:r>
        <w:t>9. Final Review standard</w:t>
      </w:r>
    </w:p>
    <w:p>
      <w:pPr>
        <w:pStyle w:val="ListBullet"/>
        <w:spacing w:after="40"/>
      </w:pPr>
      <w:r>
        <w:t>Use the latest files as source of truth; old versions matter only as remediation history.</w:t>
      </w:r>
    </w:p>
    <w:p>
      <w:pPr>
        <w:pStyle w:val="ListBullet"/>
        <w:spacing w:after="40"/>
      </w:pPr>
      <w:r>
        <w:t>Scrutinize any prior failed check and confirm the actual fix.</w:t>
      </w:r>
    </w:p>
    <w:p>
      <w:pPr>
        <w:pStyle w:val="ListBullet"/>
        <w:spacing w:after="40"/>
      </w:pPr>
      <w:r>
        <w:t>A remaining material issue in any artifact is terminal for the current package.</w:t>
      </w:r>
    </w:p>
    <w:p>
      <w:pPr>
        <w:pStyle w:val="ListBullet"/>
        <w:spacing w:after="40"/>
      </w:pPr>
      <w:r>
        <w:t>Do not reject for cosmetic or pipeline-only issues that do not impair correctness, usability, fairness or gradeability.</w:t>
      </w:r>
    </w:p>
    <w:p>
      <w:pPr>
        <w:pStyle w:val="Heading1"/>
      </w:pPr>
      <w:r>
        <w:t>10. Severity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88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518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Critical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decision / answer is wrong, task is unsolvable, source integrity is broken, or final package cannot be trusted.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Wrong authority changes borrowing capacity; missing source makes required conclusion impossible; golden recommends opposite action due to bad calculation.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Major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Material localized error or omission that can be repaired without redesigning the task.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debt instrument double-counted; one required risk not addressed; memo/workbook disagree on an approval condition.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Minor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Correct answer remains intact but quality, traceability or completeness is reduced.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shd w:fill="F7F9FC"/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stale reference, isolated mislabeled figure, incomplete locator.</w:t>
            </w:r>
          </w:p>
        </w:tc>
      </w:tr>
      <w:tr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Cosmetic</w:t>
            </w:r>
          </w:p>
        </w:tc>
        <w:tc>
          <w:tcPr>
            <w:tcW w:type="dxa" w:w="38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substantive effect on finance reasoning or scoring.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Formatting inconsistency, typo, raw floating-point residue hidden by correct display format.</w:t>
            </w:r>
          </w:p>
        </w:tc>
      </w:tr>
    </w:tbl>
    <w:p>
      <w:pPr>
        <w:spacing w:after="40"/>
      </w:pPr>
    </w:p>
    <w:p>
      <w:pPr>
        <w:pStyle w:val="Heading1"/>
      </w:pPr>
      <w:r>
        <w:t>11. Pre-submit checklist</w:t>
      </w:r>
    </w:p>
    <w:p>
      <w:pPr>
        <w:pStyle w:val="ListBullet"/>
        <w:spacing w:after="40"/>
      </w:pPr>
      <w:r>
        <w:t>I read the prompt and every source file in full.</w:t>
      </w:r>
    </w:p>
    <w:p>
      <w:pPr>
        <w:pStyle w:val="ListBullet"/>
        <w:spacing w:after="40"/>
      </w:pPr>
      <w:r>
        <w:t>The task is inside the intended finance expertise.</w:t>
      </w:r>
    </w:p>
    <w:p>
      <w:pPr>
        <w:pStyle w:val="ListBullet"/>
        <w:spacing w:after="40"/>
      </w:pPr>
      <w:r>
        <w:t>I independently judged the artifact rather than echoing the LLM judge.</w:t>
      </w:r>
    </w:p>
    <w:p>
      <w:pPr>
        <w:pStyle w:val="ListBullet"/>
        <w:spacing w:after="40"/>
      </w:pPr>
      <w:r>
        <w:t>I checked material calculations, chronology, definitions, units, currencies and cross-file tie-outs.</w:t>
      </w:r>
    </w:p>
    <w:p>
      <w:pPr>
        <w:pStyle w:val="ListBullet"/>
        <w:spacing w:after="40"/>
      </w:pPr>
      <w:r>
        <w:t>I approved sound items and rejected only actual defects.</w:t>
      </w:r>
    </w:p>
    <w:p>
      <w:pPr>
        <w:pStyle w:val="ListBullet"/>
        <w:spacing w:after="40"/>
      </w:pPr>
      <w:r>
        <w:t>Every rejection gives location, evidence, implication and exact fix.</w:t>
      </w:r>
    </w:p>
    <w:p>
      <w:pPr>
        <w:pStyle w:val="ListBullet"/>
        <w:spacing w:after="40"/>
      </w:pPr>
      <w:r>
        <w:t>Verifier checks are objective, grounded, non-overlapping and executable.</w:t>
      </w:r>
    </w:p>
    <w:p>
      <w:pPr>
        <w:pStyle w:val="ListBullet"/>
        <w:spacing w:after="40"/>
      </w:pPr>
      <w:r>
        <w:t>I have resolved or escalated contradictory automated feedback.</w:t>
      </w:r>
    </w:p>
    <w:p>
      <w:pPr>
        <w:pStyle w:val="ListBullet"/>
        <w:spacing w:after="40"/>
      </w:pPr>
      <w:r>
        <w:t>No action item is left undecided.</w:t>
      </w:r>
    </w:p>
    <w:p>
      <w:pPr>
        <w:pStyle w:val="Heading1"/>
      </w:pPr>
      <w:r>
        <w:t>Source basis used to build this document</w:t>
      </w:r>
    </w:p>
    <w:p>
      <w:pPr>
        <w:pStyle w:val="ListBullet"/>
        <w:spacing w:after="40"/>
      </w:pPr>
      <w:r>
        <w:t>RL_World_Finance_Expert_Onboarding_v6: expert role, five gates, fundamentally-sound standard, verifier quality, feedback formula, common finance traps, and stage-specific review expectations.</w:t>
      </w:r>
    </w:p>
    <w:p>
      <w:pPr>
        <w:pStyle w:val="ListBullet"/>
        <w:spacing w:after="40"/>
      </w:pPr>
      <w:r>
        <w:t>RL World Platform Quick Reference Cheat Sheet and Platform Overview: operational review loop, full-file review, artifact vs LLM-judge separation, and gate workflow.</w:t>
      </w:r>
    </w:p>
    <w:p>
      <w:pPr>
        <w:pStyle w:val="ListBullet"/>
        <w:spacing w:after="40"/>
      </w:pPr>
      <w:r>
        <w:t>Project_Omega_Guide_V5: benchmark design, headroom, source-file realism, golden requirements, verifier schema and rubric-quality rules, peer-review routing, and packaging standards.</w:t>
      </w:r>
    </w:p>
    <w:p>
      <w:pPr>
        <w:pStyle w:val="ListBullet"/>
        <w:spacing w:after="40"/>
      </w:pPr>
      <w:r>
        <w:t>Trainer_Review_Gate_Convergence_Report (prod data through 23 Sep 2026): latest verifier-platform rules and known non-converging QC failure modes.</w:t>
      </w:r>
    </w:p>
    <w:p>
      <w:pPr>
        <w:pStyle w:val="ListBullet"/>
        <w:spacing w:after="40"/>
      </w:pPr>
      <w:r>
        <w:t>Omega_Pod_Finance and Investment tracker: real peer-review decisions and feedback patterns.</w:t>
      </w:r>
    </w:p>
    <w:p>
      <w:pPr>
        <w:pStyle w:val="ListBullet"/>
        <w:spacing w:after="40"/>
      </w:pPr>
      <w:r>
        <w:t>Uploaded RL World task folders: completed and in-progress finance benchmark packages used for worked examples and evaluation cases.</w:t>
      </w:r>
    </w:p>
    <w:p>
      <w:r>
        <w:br w:type="page"/>
      </w:r>
    </w:p>
    <w:p>
      <w:pPr>
        <w:pStyle w:val="Heading1"/>
      </w:pPr>
      <w:r>
        <w:t>V2 Addendum — Pre-Flight Standards</w:t>
      </w:r>
    </w:p>
    <w:p>
      <w:pPr>
        <w:pStyle w:val="Heading2"/>
      </w:pPr>
      <w:r>
        <w:t>A. Prompt and source-document pre-flight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Reviewer standard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 construction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Role/situation/work stated as a genuine request. Ask what to determine, not how. Do not prescribe formula/method/sequence. Keep workplace terminology natural and standard terms undefined unless task-specific meaning differs.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Scope / quantifiers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Every graded time horizon, period count, population, entity subset, inclusion/exclusion rule, denominator, date/rate basis and exact convention is discoverable. Read one/each/every and singular/plural literally.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Ambiguity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Professional ambiguity is allowed; ambiguity about deliverable, authority, population or exact convention is not. If two competent practitioners can choose differently and only one can pass, state the convention or admit both.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Deliverables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r>
              <w:t>Names/paths/extensions/audiences are consistent everywhere. No evaluation meta-commentary. No hidden presentation structure that only exists in the golden. When Project Omega V5 creation rules govern, confirm at least 2 deliverable artifacts in approved formats.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Source set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t>All required files present/referenced; cross-file joins real; genre/format appropriate; enough scale to feel professional; task not solvable from one file when multi-file reasoning is intended. When Project Omega V5 creation rules govern, confirm 3+ source documents.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Leakage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pre-solved values/flags; no source section that paraphrases task decomposition; no solver-facing recipes; no synthesis/advisor commentary that identifies important items or intended answer.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Realism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Non-monotonic IDs, non-uniform/non-round values where appropriate, jittered timestamps, plausible anonymized names, natural disorder, no synthetic/model boilerplate.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Consistency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IDs resolve; summaries tie to detail; units/scales correct; chronology/cutoffs valid; approvals follow underlying events; no future-period comparisons; accounting/physical constraints hold; exact verifier anchors derivable.</w:t>
            </w:r>
          </w:p>
        </w:tc>
      </w:tr>
    </w:tbl>
    <w:p/>
    <w:p>
      <w:pPr>
        <w:pStyle w:val="Heading2"/>
      </w:pPr>
      <w:r>
        <w:t>B. Golden pre-flight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Reviewer standard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Brief compliance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 requested files present/named/formatted/audience-correct. Reasoning stays in Expert Solution; it contains step-by-step logic, intermediates and source linkage. No solver-needed convention exists only in reasoning.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Internal consistency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Narrative matches tables; deliverables agree; displayed totals/rounded totals tie; percentage/ratio labels are correct; rates use matching bases; technical/accounting labels are accurate; causal claims supported; every figure has source or shown derivation.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Presentation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Stated/consistent precision, no raw floats, blank/working sheets, empty TOC/headings, placeholders or blank trailing pages. Validate alleged layout defects against raw structure because extractors can reorder content.</w:t>
            </w:r>
          </w:p>
        </w:tc>
      </w:tr>
    </w:tbl>
    <w:p/>
    <w:p>
      <w:pPr>
        <w:pStyle w:val="Heading2"/>
      </w:pPr>
      <w:r>
        <w:t>C. Verifier pre-flight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Reviewer standard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Coverage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Map prompt clause by clause. Every explicit obligation has an owner; every verifier traces to prompt/source/clearly implied task success condition. Cold-attempt failures may motivate checks only when the obligation is fair and discoverable.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Atomicity / ownership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One tightly coupled construct per verifier; split only when independent pass/fail is possible. One scoring owner per property; shared anchors do not equal overlap.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Pass/fail wording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Concrete exhaustive PASS/FAIL, silent omission covered, no advisory verbs or unbounded qualitative terms as verdict gates. Examples are clearly optional or clearly mandatory.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Self-contained / runtime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Inline everything the single-file judge needs. No cross-file dependencies, hidden metadata, invisible file-format properties or unreliable PowerPoint adjacency.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Tolerance / methods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Accept every defensible method/reading supported by materials; keep known wrong methods outside accepted band. No method requirement unless prompt requires it.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Core/secondary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9FC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Core only for load-bearing correctness; secondary for good-vs-great qualities. Avoid cascading weight from one upstream omission.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Count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 not target verifier count for its own sake. Coverage and quality control count. A count requirement applies only if the current governing task/platform spec explicitly says so.</w:t>
            </w:r>
          </w:p>
        </w:tc>
      </w:tr>
    </w:tbl>
    <w:p/>
    <w:p>
      <w:pPr>
        <w:pStyle w:val="Heading2"/>
      </w:pPr>
      <w:r>
        <w:t>D. Approval / override hygiene</w:t>
      </w:r>
    </w:p>
    <w:p>
      <w:pPr>
        <w:pStyle w:val="ListBullet"/>
        <w:spacing w:after="40"/>
      </w:pPr>
      <w:r>
        <w:t>Diff regenerated verifier text against the last reviewed version; detect missing/reverted text before judging new QC findings.</w:t>
      </w:r>
    </w:p>
    <w:p>
      <w:pPr>
        <w:pStyle w:val="ListBullet"/>
        <w:spacing w:after="40"/>
      </w:pPr>
      <w:r>
        <w:t>Classify remaining automated fails as substantive fix, policy/platform limitation, or stale result.</w:t>
      </w:r>
    </w:p>
    <w:p>
      <w:pPr>
        <w:pStyle w:val="ListBullet"/>
        <w:spacing w:after="40"/>
      </w:pPr>
      <w:r>
        <w:t>Batch substantive fixes rather than resubmitting a half-fixed set.</w:t>
      </w:r>
    </w:p>
    <w:p>
      <w:pPr>
        <w:pStyle w:val="ListBullet"/>
        <w:spacing w:after="40"/>
      </w:pPr>
      <w:r>
        <w:t>Override only when substantive defects are clean and the remaining fail is demonstrably stale/incorrect/platform-level; document affected verifier(s) and evidence.</w:t>
      </w:r>
    </w:p>
    <w:p>
      <w:pPr>
        <w:pStyle w:val="ListBullet"/>
        <w:spacing w:after="40"/>
      </w:pPr>
      <w:r>
        <w:t>Never use override merely because regeneration is frustrating.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Project Omega - internal reviewer aid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  <w:style w:type="paragraph" w:customStyle="1" w:styleId="CodeSmall">
    <w:name w:val="Code Small"/>
    <w:pPr>
      <w:spacing w:after="4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