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Authority Hierarchy &amp; Defect Taxonomy</w:t>
      </w:r>
    </w:p>
    <w:p>
      <w:pPr>
        <w:jc w:val="center"/>
      </w:pPr>
      <w:r>
        <w:rPr>
          <w:rFonts w:ascii="Aptos" w:hAnsi="Aptos"/>
          <w:color w:val="666666"/>
          <w:sz w:val="22"/>
        </w:rPr>
        <w:t>Where truth comes from, where defects belong, and how to route them</w:t>
      </w:r>
    </w:p>
    <w:p>
      <w:pPr>
        <w:jc w:val="center"/>
      </w:pPr>
      <w:r>
        <w:rPr>
          <w:color w:val="666666"/>
          <w:sz w:val="17"/>
        </w:rPr>
        <w:t>Project Omega | Finance &amp; Insurance reviewer knowledge pack | 25 Sep 2026</w:t>
      </w:r>
    </w:p>
    <w:p/>
    <w:p>
      <w:pPr>
        <w:pStyle w:val="Heading1"/>
      </w:pPr>
      <w:r>
        <w:t>1. Authority hierarchy: use a fact-specific hierarchy, not a blanket document ranking</w:t>
      </w:r>
    </w:p>
    <w:p>
      <w:r>
        <w:t>The authoritative source depends on the fact being tested. The same file can be authoritative for one field and non-authoritative for another. Start with explicit prompt rules, then choose the source that has legal, accounting, operational or temporal authority for the specific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Fact type</w:t>
            </w:r>
          </w:p>
        </w:tc>
        <w:tc>
          <w:tcPr>
            <w:tcW w:type="dxa" w:w="324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Usually strongest evidence</w:t>
            </w:r>
          </w:p>
        </w:tc>
        <w:tc>
          <w:tcPr>
            <w:tcW w:type="dxa" w:w="302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Usually weaker evidence</w:t>
            </w:r>
          </w:p>
        </w:tc>
        <w:tc>
          <w:tcPr>
            <w:tcW w:type="dxa" w:w="33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Reviewer test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Legal / contractual term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Executed agreement, amendment, signed election, formal policy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Summary memo, deck, email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Was it executed and effective for the relevant date / entity?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Actual cash / transaction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Bank value record, custodial record, GL/subledger, final transaction export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Promise log, forecast, presentation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Did cash/value actually occur, in the right entity/account, on the right date?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Approval / status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Signed approval, final workflow state, authoritative system log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Routed request, draft, “expected”, email intent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the evidence prove final authorization or only review/routing?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Accounting classification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Governing accounting policy + transaction evidence + effective chart/map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Management narrative or presentation label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classification reflect economic substance and current mapping?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Valuation / market input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Permitted market data under governing method and date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Dealer/internal quote not meeting method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 the date/basis permitted, and are conventions equivalent?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Covenant / credit metric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Executed credit agreement + amendments + underlying financials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Compliance certificate / lender deck summary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Rebuild under the agreement definition; do not accept the certificate by default.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Timeline / close cutoff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Approved close calendar, effective-dated policy, timestamped approval trail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Period label or preliminary packet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Which timestamp / rule actually determines inclusion?</w:t>
            </w:r>
          </w:p>
        </w:tc>
      </w:tr>
    </w:tbl>
    <w:p>
      <w:pPr>
        <w:spacing w:after="40"/>
      </w:pPr>
    </w:p>
    <w:p>
      <w:pPr>
        <w:pStyle w:val="Heading1"/>
      </w:pPr>
      <w:r>
        <w:t>2. Chronology and effective-date rules</w:t>
      </w:r>
    </w:p>
    <w:p>
      <w:pPr>
        <w:pStyle w:val="ListBullet"/>
        <w:spacing w:after="40"/>
      </w:pPr>
      <w:r>
        <w:t>A definition, rate, mapping, covenant level or policy applies only within its effective window.</w:t>
      </w:r>
    </w:p>
    <w:p>
      <w:pPr>
        <w:pStyle w:val="ListBullet"/>
        <w:spacing w:after="40"/>
      </w:pPr>
      <w:r>
        <w:t>A post-period document may explain a prior event, but it does not retroactively change the prior rule unless it explicitly amends or corrects it.</w:t>
      </w:r>
    </w:p>
    <w:p>
      <w:pPr>
        <w:pStyle w:val="ListBullet"/>
        <w:spacing w:after="40"/>
      </w:pPr>
      <w:r>
        <w:t>Promise date ≠ cash value date. Trade date ≠ settlement date. Routed request ≠ approved commitment. Draft ≠ executed agreement.</w:t>
      </w:r>
    </w:p>
    <w:p>
      <w:pPr>
        <w:pStyle w:val="ListBullet"/>
        <w:spacing w:after="40"/>
      </w:pPr>
      <w:r>
        <w:t>When a late item is allowed under a special bridge window, verify the actual approval timestamp and the authority required for that exception.</w:t>
      </w:r>
    </w:p>
    <w:p>
      <w:pPr>
        <w:pStyle w:val="ListBullet"/>
        <w:spacing w:after="40"/>
      </w:pPr>
      <w:r>
        <w:t>If two records use identical labels across dates, test whether unit, compounding, denominator, population or definition changed before comparing them.</w:t>
      </w:r>
    </w:p>
    <w:p>
      <w:pPr>
        <w:pStyle w:val="Heading1"/>
      </w:pPr>
      <w:r>
        <w:t>3. Defect taxonomy by ownership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29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19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Defect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5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Typical severity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TD-01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Task Design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Unrealistic workflow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Scenario is contrived, role/scope impossible, or timing unrealistic.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Task Design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Critical/Major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TD-02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Task Design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Insufficient headroom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Generic model can solve without meaningful domain judgment.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Task Design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SD-01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Chronology / cutoff error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Event, rate, approval or balance used outside valid time window.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file containing wrong record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Critical/Major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SD-02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Cross-file mismatch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Same fact conflicts across records without a planned reason.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Earliest incorrect source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Critical/Major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SD-03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Definition drift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Metric basis changes mid-series but appears continuous.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/ metadata defining series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SD-04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Authority inversion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Summary/draft overrides executed or system-of-record evidence.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/ task rules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Critical/Major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SD-05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Duplicate economic event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Same event appears under variant IDs/names and is counted twice.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SD-06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Unit / currency / scale mismatch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Native currency, notional, thousands, gross/net or par/carrying basis mixed.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Critical/Major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SD-07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Mechanical data error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Broken total, running balance, invalid date, missing key, impossible negative, stale formula cache.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SD-08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Answer leakage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explicitly states supported answer / exception the solver should derive.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SD-09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Anomaly telegraphed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Planted anomaly is labeled or overly obvious.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data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P-01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Prompt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Underdetermined ask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Two experts could reach materially different outputs because authority/definition/decision rule is missing.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Prompt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Critical/Major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P-02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Prompt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Contract conflict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Narrative ask conflicts with strict output contract, filename, state or decision options.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Prompt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P-03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Prompt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Scope inflation / overconstraint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Prompt forces method or unnecessary detail that removes headroom.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Prompt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Major/Minor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MO-01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Model/Golden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Computation error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Formula/arithmetic/roll-forward/bridge/waterfall is wrong.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Output artifact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Critical/Major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MO-02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Model/Golden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Correct number, wrong basis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Output lands on plausible figure using invalid definition/date/authority.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Output artifact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Critical/Major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MO-03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Model/Golden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Unsupported conclusion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Claim or recommendation exceeds evidence.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Output artifact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MO-04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Model/Golden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Cross-deliverable inconsistency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Workbook, memo, deck or reasoning disagree on a material fact/action.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 affected outputs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MO-05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Model/Golden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Omission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analysis, risk, action, source link or deliverable component is missing.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Output artifact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Major/Minor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V-01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Rubric overreach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 imposes a requirement absent from prompt/source/valid professional obligation.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V-02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Composite criterion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Independent concepts bundled so partial correctness cannot be scored fairly.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Major/Minor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V-03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Overlap / ownership collision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Same property materially graded by multiple verifiers.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 set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V-04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Vague threshold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Undefined “material/reasonable/appropriate” drives pass/fail.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Major/Minor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V-05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 self-contained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Judge lacks required values/entities/accepted alternatives.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V-06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Runtime impossible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Check needs cross-file access, formula liveness or extraction behavior runtime cannot see.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 / escalation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Major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V-07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False leakage concern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Inline anchors treated as leakage even though solver never sees rubric.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Judge feedback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Reject remediation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V-08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Verifier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Truncation policy error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Rubric fails solely on extraction/token truncation.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Judge feedback / verifier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Reject remediation</w:t>
            </w:r>
          </w:p>
        </w:tc>
      </w:tr>
      <w:t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PL-01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Pipeline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Tool/QC limitation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Issue comes from conversion, extraction, stale cached view, or impossible QC requirement.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Escalation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 task defect</w:t>
            </w:r>
          </w:p>
        </w:tc>
      </w:tr>
    </w:tbl>
    <w:p>
      <w:pPr>
        <w:spacing w:after="40"/>
      </w:pPr>
    </w:p>
    <w:p>
      <w:pPr>
        <w:pStyle w:val="Heading1"/>
      </w:pPr>
      <w:r>
        <w:t>4. Planned anomaly vs unintended defect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1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Planned anomaly</w:t>
            </w:r>
          </w:p>
        </w:tc>
        <w:tc>
          <w:tcPr>
            <w:tcW w:type="dxa" w:w="417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Unintended defect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 it in the anomaly plan?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Matches description, location and expected detection pattern.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 described, or materially different from plan.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it preserve solvability?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Yes; enough evidence exists to detect and resolve it.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No; required evidence is missing or mutually impossible.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 it labeled?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May be accidentally signposted or directly answered.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Where to flag?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 not flag merely because sources conflict; judge whether the intended anomaly is realistic and fair.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Flag the defective source / task design at the earliest layer.</w:t>
            </w:r>
          </w:p>
        </w:tc>
      </w:tr>
    </w:tbl>
    <w:p>
      <w:pPr>
        <w:spacing w:after="40"/>
      </w:pPr>
    </w:p>
    <w:p>
      <w:pPr>
        <w:pStyle w:val="Heading1"/>
      </w:pPr>
      <w:r>
        <w:t>5. Routing decision tree</w:t>
      </w:r>
    </w:p>
    <w:p>
      <w:pPr>
        <w:pStyle w:val="ListNumber"/>
        <w:spacing w:after="40"/>
      </w:pPr>
      <w:r>
        <w:t>Is the concern real when independently checked? If no, disagree with the judge and document the evidence.</w:t>
      </w:r>
    </w:p>
    <w:p>
      <w:pPr>
        <w:pStyle w:val="ListNumber"/>
        <w:spacing w:after="40"/>
      </w:pPr>
      <w:r>
        <w:t>If real, what is the earliest artifact that caused it? Assign ownership there.</w:t>
      </w:r>
    </w:p>
    <w:p>
      <w:pPr>
        <w:pStyle w:val="ListNumber"/>
        <w:spacing w:after="40"/>
      </w:pPr>
      <w:r>
        <w:t>Does fixing it require changing task design, source data, prompt or golden? Treat it as foundational, not a verifier-only edit.</w:t>
      </w:r>
    </w:p>
    <w:p>
      <w:pPr>
        <w:pStyle w:val="ListNumber"/>
        <w:spacing w:after="40"/>
      </w:pPr>
      <w:r>
        <w:t>If only the scoring logic is defective, keep the underlying task/golden intact and repair or regenerate the verifier.</w:t>
      </w:r>
    </w:p>
    <w:p>
      <w:pPr>
        <w:pStyle w:val="ListNumber"/>
        <w:spacing w:after="40"/>
      </w:pPr>
      <w:r>
        <w:t>If the form/runtime cannot express the correct check, escalate rather than forcing an invalid workaround.</w:t>
      </w:r>
    </w:p>
    <w:p>
      <w:pPr>
        <w:pStyle w:val="Heading1"/>
      </w:pPr>
      <w:r>
        <w:t>6. Quick examples from the supplied project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88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345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37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Correct owner</w:t>
            </w:r>
          </w:p>
        </w:tc>
      </w:tr>
      <w:tr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Annual-rent formulas have no cached values, so extracted source looks blank.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SD-07 Mechanical data / extraction interaction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workbook; recalc/save cached values.</w:t>
            </w:r>
          </w:p>
        </w:tc>
      </w:tr>
      <w:tr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Reasoning says $27.583m / $20.662m = 1.37x when arithmetic is 1.335x.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MO-01 Golden computation support error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Reasoning document.</w:t>
            </w:r>
          </w:p>
        </w:tc>
      </w:tr>
      <w:tr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workbook contains “Supported Balance” and “Unsupported Difference Flag” that reveal the answer.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SD-08 Answer leakage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workbook.</w:t>
            </w:r>
          </w:p>
        </w:tc>
      </w:tr>
      <w:tr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Verifier asks one judge to compare workbook and memo directly, but one-source-per-verifier runtime cannot.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V-06 Runtime impossible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Verifier / escalation, not golden.</w:t>
            </w:r>
          </w:p>
        </w:tc>
      </w:tr>
      <w:tr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QC calls inlined expected values “answer-key leakage.”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V-07 False leakage concern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Reject remediation; solver does not see rubric.</w:t>
            </w:r>
          </w:p>
        </w:tc>
      </w:tr>
      <w:tr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Compliance certificate conflicts with financial statements by design and prompt instructs a rebuild from agreement definitions.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Planned anomaly / authority test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 not reject merely for the conflict; verify it is solvable and unlabeled.</w:t>
            </w:r>
          </w:p>
        </w:tc>
      </w:tr>
    </w:tbl>
    <w:p>
      <w:pPr>
        <w:spacing w:after="40"/>
      </w:pPr>
    </w:p>
    <w:p>
      <w:pPr>
        <w:pStyle w:val="Heading1"/>
      </w:pPr>
      <w:r>
        <w:t>Source basis used to build this document</w:t>
      </w:r>
    </w:p>
    <w:p>
      <w:pPr>
        <w:pStyle w:val="ListBullet"/>
        <w:spacing w:after="40"/>
      </w:pPr>
      <w:r>
        <w:t>RL_World_Finance_Expert_Onboarding_v6: expert role, five gates, fundamentally-sound standard, verifier quality, feedback formula, common finance traps, and stage-specific review expectations.</w:t>
      </w:r>
    </w:p>
    <w:p>
      <w:pPr>
        <w:pStyle w:val="ListBullet"/>
        <w:spacing w:after="40"/>
      </w:pPr>
      <w:r>
        <w:t>RL World Platform Quick Reference Cheat Sheet and Platform Overview: operational review loop, full-file review, artifact vs LLM-judge separation, and gate workflow.</w:t>
      </w:r>
    </w:p>
    <w:p>
      <w:pPr>
        <w:pStyle w:val="ListBullet"/>
        <w:spacing w:after="40"/>
      </w:pPr>
      <w:r>
        <w:t>Project_Omega_Guide_V5: benchmark design, headroom, source-file realism, golden requirements, verifier schema and rubric-quality rules, peer-review routing, and packaging standards.</w:t>
      </w:r>
    </w:p>
    <w:p>
      <w:pPr>
        <w:pStyle w:val="ListBullet"/>
        <w:spacing w:after="40"/>
      </w:pPr>
      <w:r>
        <w:t>Trainer_Review_Gate_Convergence_Report (prod data through 23 Sep 2026): latest verifier-platform rules and known non-converging QC failure modes.</w:t>
      </w:r>
    </w:p>
    <w:p>
      <w:pPr>
        <w:pStyle w:val="ListBullet"/>
        <w:spacing w:after="40"/>
      </w:pPr>
      <w:r>
        <w:t>Omega_Pod_Finance and Investment tracker: real peer-review decisions and feedback patterns.</w:t>
      </w:r>
    </w:p>
    <w:p>
      <w:pPr>
        <w:pStyle w:val="ListBullet"/>
        <w:spacing w:after="40"/>
      </w:pPr>
      <w:r>
        <w:t>Uploaded RL World task folders: completed and in-progress finance benchmark packages used for worked examples and evaluation cases.</w:t>
      </w:r>
    </w:p>
    <w:p>
      <w:r>
        <w:br w:type="page"/>
      </w:r>
    </w:p>
    <w:p>
      <w:pPr>
        <w:pStyle w:val="Heading1"/>
      </w:pPr>
      <w:r>
        <w:t>V2 Addendum — Checklist / Platform Conflict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345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345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Classification / action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CF-01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Legacy verifier-count minimum vs newer no-count platform rule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Platform-policy conflict. Do not reject solely for count; require coverage/quality unless current governing spec explicitly sets a minimum.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CF-02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Extractor reports truncated=true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Pipeline/extraction issue. Do not make it a verifier fail by itself; escalate/override only after substantive content checks are clean.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CF-03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Verifier reads a fixed/incomplete business-data range and misses records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Real verifier/construct-validity defect. Fix the population/range logic; this is not the same as CF-02.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CF-04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Cross-artifact equality demanded by a single-file verifier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Runtime-impossible verifier defect. Inline accepted shared anchors separately in each artifact’s owner.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CF-05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Exact source population must be matched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Valid semantic rubric requirement when grounded. Express it in rubric PASS/FAIL text; do not invent unsupported deterministic assertion types.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CF-06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PowerPoint spatial relationship inferred from extraction order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Potential construct-validity/runtime defect. Use reliable slide labels/observable structure or do not grade adjacency.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CF-07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cross-reference to another document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 automatically leakage. Reject only when it gives solver analytical directions/decomposition or reveals the answer; ordinary in-world references may be realistic.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CF-08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Automated judge repeats old counts/old wording after regeneration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Stale QC result. Confirm current text, then document/override rather than rewriting already-fixed criteria.</w:t>
            </w:r>
          </w:p>
        </w:tc>
      </w:tr>
    </w:tbl>
    <w:p/>
    <w:p>
      <w:pPr>
        <w:pStyle w:val="Heading2"/>
      </w:pPr>
      <w:r>
        <w:t>Precedence rule adopted for the reviewer GPT</w:t>
      </w:r>
    </w:p>
    <w:p>
      <w:pPr>
        <w:spacing w:after="40"/>
      </w:pPr>
      <w:r/>
      <w:r>
        <w:t>1. Current task-specific instructions and current platform schema/runtime constraints.</w:t>
      </w:r>
    </w:p>
    <w:p>
      <w:pPr>
        <w:spacing w:after="40"/>
      </w:pPr>
      <w:r/>
      <w:r>
        <w:t>2. Latest confirmed platform/verifier guidance and convergence fixes.</w:t>
      </w:r>
    </w:p>
    <w:p>
      <w:pPr>
        <w:spacing w:after="40"/>
      </w:pPr>
      <w:r/>
      <w:r>
        <w:t>3. Stable Project Omega creation/review standards and pre-flight checklist.</w:t>
      </w:r>
    </w:p>
    <w:p>
      <w:pPr>
        <w:spacing w:after="40"/>
      </w:pPr>
      <w:r/>
      <w:r>
        <w:t>4. Older FAQ wording or automated judge remediation when it conflicts with the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 xml:space="preserve">CAUTION  </w:t>
            </w:r>
            <w:r>
              <w:t>This precedence rule is a deliberate reconciliation for the GPT. If the live platform displays a newer explicit rule, the live rule wins and the discrepancy should be logged.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Project Omega - internal reviewer aid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6666"/>
      <w:sz w:val="17"/>
    </w:rPr>
  </w:style>
  <w:style w:type="paragraph" w:customStyle="1" w:styleId="CodeSmall">
    <w:name w:val="Code Small"/>
    <w:pPr>
      <w:spacing w:after="4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