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Finance Domain Cheat Sheet</w:t>
      </w:r>
    </w:p>
    <w:p>
      <w:pPr>
        <w:jc w:val="center"/>
      </w:pPr>
      <w:r>
        <w:rPr>
          <w:rFonts w:ascii="Aptos" w:hAnsi="Aptos"/>
          <w:color w:val="666666"/>
          <w:sz w:val="22"/>
        </w:rPr>
        <w:t>Fast expert checks for the first Project Omega finance / insurance domains</w:t>
      </w:r>
    </w:p>
    <w:p>
      <w:pPr>
        <w:jc w:val="center"/>
      </w:pPr>
      <w:r>
        <w:rPr>
          <w:color w:val="666666"/>
          <w:sz w:val="17"/>
        </w:rPr>
        <w:t>Project Omega | Finance &amp; Insurance reviewer knowledge pack | 25 Sep 2026</w:t>
      </w:r>
    </w:p>
    <w:p/>
    <w:p>
      <w:pPr>
        <w:pStyle w:val="Heading1"/>
      </w:pPr>
      <w:r>
        <w:t>1. Universal finance checks</w:t>
      </w:r>
    </w:p>
    <w:p>
      <w:pPr>
        <w:pStyle w:val="ListBullet"/>
        <w:spacing w:after="40"/>
      </w:pPr>
      <w:r>
        <w:t>Define the measurement date, period and population before calculating anything.</w:t>
      </w:r>
    </w:p>
    <w:p>
      <w:pPr>
        <w:pStyle w:val="ListBullet"/>
        <w:spacing w:after="40"/>
      </w:pPr>
      <w:r>
        <w:t>Normalize IDs and names before deduplication; economic identity beats string identity.</w:t>
      </w:r>
    </w:p>
    <w:p>
      <w:pPr>
        <w:pStyle w:val="ListBullet"/>
        <w:spacing w:after="40"/>
      </w:pPr>
      <w:r>
        <w:t>Separate reported / observed values from corrected / normalized / pro forma values.</w:t>
      </w:r>
    </w:p>
    <w:p>
      <w:pPr>
        <w:pStyle w:val="ListBullet"/>
        <w:spacing w:after="40"/>
      </w:pPr>
      <w:r>
        <w:t>Track units explicitly: currency, scale, gross/net, par/carrying, nominal/effective rate, pre/post tax, local/reporting currency.</w:t>
      </w:r>
    </w:p>
    <w:p>
      <w:pPr>
        <w:pStyle w:val="ListBullet"/>
        <w:spacing w:after="40"/>
      </w:pPr>
      <w:r>
        <w:t>For every bridge, assign each difference once. A non-overlapping bridge should tie exactly from source presentation to corrected result.</w:t>
      </w:r>
    </w:p>
    <w:p>
      <w:pPr>
        <w:pStyle w:val="ListBullet"/>
        <w:spacing w:after="40"/>
      </w:pPr>
      <w:r>
        <w:t>For every recommendation, identify the threshold or decision rule that actually governs it; do not substitute generic finance practice for task-specific rules.</w:t>
      </w:r>
    </w:p>
    <w:p>
      <w:pPr>
        <w:pStyle w:val="Heading1"/>
      </w:pPr>
      <w:r>
        <w:t>2. Credit facilities, leveraged finance and covenant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Review focus</w:t>
            </w:r>
          </w:p>
        </w:tc>
        <w:tc>
          <w:tcPr>
            <w:tcW w:type="dxa" w:w="482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Core check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Frequent trap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Debt population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Normalize facility/instrument IDs; reconcile principal, drawn revolver, letters of credit, seller notes, leases or other included debt under the agreement.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Duplicate instrument under variant name/ID; par mixed with carrying value.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Covenant EBITDA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Start from the agreement definition and effective amendment. Rebuild allowed add-backs and exclusions from evidence.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Using management Adjusted EBITDA or applying amended add-backs to pre-amendment periods.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Leverage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Gross leverage = included debt / defined EBITDA. Net leverage subtracts only cash permitted by the agreement.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Subtracting restricted/trapped cash or using net debt when covenant is gross.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Coverage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the exact covenant definition; cash interest and fixed charges may differ from GAAP interest expense.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Using a generic formula because the certificate labels it “coverage.”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Availability / liquidity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Commitment less draws, reserves, borrowing-base constraints and LC usage; add only usable unrestricted cash.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Treating nominal commitment as immediately drawable capacity.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Authority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Executed credit agreement + amendments control terms; certificate/deck is evidence to test, not an answer key.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Accepting certified values without rebuilding definitions.</w:t>
            </w:r>
          </w:p>
        </w:tc>
      </w:tr>
    </w:tbl>
    <w:p>
      <w:pPr>
        <w:spacing w:after="40"/>
      </w:pPr>
    </w:p>
    <w:p>
      <w:pPr>
        <w:pStyle w:val="Heading1"/>
      </w:pPr>
      <w:r>
        <w:t>3. Commercial real estate underwriting and refinancing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Metric / issue</w:t>
            </w:r>
          </w:p>
        </w:tc>
        <w:tc>
          <w:tcPr>
            <w:tcW w:type="dxa" w:w="496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10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Reviewer warning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NOI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Rebuild rent/revenue less permitted operating expenses; distinguish T-12, forward, stabilized and pro forma.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Broker pro forma used without reconciling lease/expense detail.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LTV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Loan amount / authoritative value; identify as-is, as-stabilized or appraised value date.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Mixing appraisal bases or using stale valuation.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Debt yield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NOI / loan amount on matching basis.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Using EBITDA or annualized partial-period NOI without support.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DSCR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NOI / debt service using the lender-required debt-service convention.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Interest-only vs amortizing debt service mixed.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Refi proceeds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Minimum of lender sizing constraints; deduct reserves/holdbacks/fees only once.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Using headline commitment rather than binding constraint.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Payoff / close costs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Payoff principal + accrued interest + fees + third-party/recording/escrow/reserve items less legitimate credits.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Double-counting accrued interest, deposits, security or escrows.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Closing timing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Sequence appraisal/credit approval/loan docs/title/payoff/wire cutoffs and named approvers.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Economics work but transaction cannot close before maturity.</w:t>
            </w:r>
          </w:p>
        </w:tc>
      </w:tr>
    </w:tbl>
    <w:p>
      <w:pPr>
        <w:spacing w:after="40"/>
      </w:pPr>
    </w:p>
    <w:p>
      <w:pPr>
        <w:pStyle w:val="Heading1"/>
      </w:pPr>
      <w:r>
        <w:t>4. Treasury, liquidity, debt and derivative close-out</w:t>
      </w:r>
    </w:p>
    <w:p>
      <w:pPr>
        <w:pStyle w:val="ListBullet"/>
        <w:spacing w:after="40"/>
      </w:pPr>
      <w:r>
        <w:t>Daily liquidity: opening usable cash by entity/account + value-dated receipts - scheduled uses ± permitted transfers/draws. Promise or remittance date is not automatically a usable-cash date.</w:t>
      </w:r>
    </w:p>
    <w:p>
      <w:pPr>
        <w:pStyle w:val="ListBullet"/>
        <w:spacing w:after="40"/>
      </w:pPr>
      <w:r>
        <w:t>Classify relief as firm only if available without a new approval, customer action, waiver or condition. Approval-gated / customer-dependent relief is contingent or hopeful.</w:t>
      </w:r>
    </w:p>
    <w:p>
      <w:pPr>
        <w:pStyle w:val="ListBullet"/>
        <w:spacing w:after="40"/>
      </w:pPr>
      <w:r>
        <w:t>Keep restricted cash, tax reserves, captive assets and entity-specific cash out of general liquidity unless transfer is explicitly permitted.</w:t>
      </w:r>
    </w:p>
    <w:p>
      <w:pPr>
        <w:pStyle w:val="ListBullet"/>
        <w:spacing w:after="40"/>
      </w:pPr>
      <w:r>
        <w:t>For debt payoff: reconcile principal, accrued interest, breakage/fees, existing cash security, collateral interest, and wire cutoffs; avoid counting a payment both in future cash flows and accrued balance.</w:t>
      </w:r>
    </w:p>
    <w:p>
      <w:pPr>
        <w:pStyle w:val="ListBullet"/>
        <w:spacing w:after="40"/>
      </w:pPr>
      <w:r>
        <w:t>For derivatives: establish valid notice/termination/calculation date under governing documents; test whether quotes/market data satisfy permitted methodology; verify compounding/day-count conventions before comparing same-labeled rates across dates.</w:t>
      </w:r>
    </w:p>
    <w:p>
      <w:pPr>
        <w:pStyle w:val="ListBullet"/>
        <w:spacing w:after="40"/>
      </w:pPr>
      <w:r>
        <w:t>A routed authorization ticket is not necessarily an effective commitment. Trace prerequisite → approval → calculation → funding state.</w:t>
      </w:r>
    </w:p>
    <w:p>
      <w:pPr>
        <w:pStyle w:val="Heading1"/>
      </w:pPr>
      <w:r>
        <w:t>5. Financial close, management P&amp;L and consolidation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6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6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Expert check</w:t>
            </w:r>
          </w:p>
        </w:tc>
        <w:tc>
          <w:tcPr>
            <w:tcW w:type="dxa" w:w="46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Failure mode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Population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Rebuild from raw transactions; identify duplicates, reversals and late postings.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Packet summary accepted instead of underlying population.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Cutoff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approved close calendar and timestamps; apply any late-item exception window exactly.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Period label outranks actual approval timestamp.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FX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rate table and method effective for entity/date; check transaction vs translation currency.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Wrong monthly rate or local amount stored in reporting-currency field.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Mapping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effective-dated entity/account/reporting map.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Legacy hierarchy label treated as current.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Consolidation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 entity scope, eliminations, ownership and translation treatment.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Wrong entity included/excluded or elimination duplicated.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Bridge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Frozen/preliminary baseline → each correction → final management view, one difference once.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Packet vs final mixed into one unexplained variance.</w:t>
            </w:r>
          </w:p>
        </w:tc>
      </w:tr>
    </w:tbl>
    <w:p>
      <w:pPr>
        <w:spacing w:after="40"/>
      </w:pPr>
    </w:p>
    <w:p>
      <w:pPr>
        <w:pStyle w:val="Heading1"/>
      </w:pPr>
      <w:r>
        <w:t>6. Valuation, M&amp;A / QoE and private markets</w:t>
      </w:r>
    </w:p>
    <w:p>
      <w:pPr>
        <w:pStyle w:val="ListBullet"/>
        <w:spacing w:after="40"/>
      </w:pPr>
      <w:r>
        <w:t>Separate accounting close corrections from analytical normalizations; a valuation normalization is not automatically a journal entry.</w:t>
      </w:r>
    </w:p>
    <w:p>
      <w:pPr>
        <w:pStyle w:val="ListBullet"/>
        <w:spacing w:after="40"/>
      </w:pPr>
      <w:r>
        <w:t>Normalize historical marks before trend conclusions if NAV/EBITDA/revenue definitions changed over time.</w:t>
      </w:r>
    </w:p>
    <w:p>
      <w:pPr>
        <w:pStyle w:val="ListBullet"/>
        <w:spacing w:after="40"/>
      </w:pPr>
      <w:r>
        <w:t>For QoE, trace each adjustment to underlying transaction evidence; recurring operating costs do not become add-backs because a seller labels them “one-time.”</w:t>
      </w:r>
    </w:p>
    <w:p>
      <w:pPr>
        <w:pStyle w:val="ListBullet"/>
        <w:spacing w:after="40"/>
      </w:pPr>
      <w:r>
        <w:t>For continuation vehicles / waterfalls, model transaction sequence, crystallization, reset basis, fees, preferred return, catch-up, carried interest, expenses and timing of realizations in the contractual order.</w:t>
      </w:r>
    </w:p>
    <w:p>
      <w:pPr>
        <w:pStyle w:val="ListBullet"/>
        <w:spacing w:after="40"/>
      </w:pPr>
      <w:r>
        <w:t>Observed transaction schedules (seller proceeds, opening account, dealer statements) are terms to validate against governing provisions—not answers to copy.</w:t>
      </w:r>
    </w:p>
    <w:p>
      <w:pPr>
        <w:pStyle w:val="ListBullet"/>
        <w:spacing w:after="40"/>
      </w:pPr>
      <w:r>
        <w:t>Sensitivity should illuminate a disputed assumption or reversal point; it must not replace a primary conclusion.</w:t>
      </w:r>
    </w:p>
    <w:p>
      <w:pPr>
        <w:pStyle w:val="Heading1"/>
      </w:pPr>
      <w:r>
        <w:t>7. Insurance underwriting, reserving and reinsurance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Subdomain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Core checks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Common definition drift / trap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Underwriting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Exposure, policy period, attachment/limit/deductible, pricing basis, exclusions, loss history, rate change and capacity.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Written premium treated as earned; quote treated as bound policy; exposure base changes unnoticed.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P&amp;C reserving / IBNR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Paid, case outstanding, incurred = paid + case, IBNR = selected ultimate - reported/incurred as defined; accident/report/calendar period; development age; gross/net.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Mixing accident year with calendar year; gross and net triangles mixed; case reserve changes treated as cash.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Loss ratios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the premium denominator matching the loss basis and period (earned vs written).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Incurred losses / written premium labeled as earned loss ratio.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Reinsurance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Attachment, limit, occurrence vs aggregate, reinstatement terms, hours clause, ceded recovery, counterparty and collateral.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Gross loss compared directly to net retention; reinstatement premium omitted; layer exhaust/aggregate confused.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Captive liquidity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Eligible liquid assets / required liabilities or coverage denominator, premium funding, related-party receivables, restricted assets.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Captive assets used as parent liquidity despite coverage restriction.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Claims operations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 status, authority, payment timing, reserve vs paid, recoverable evidence.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Pending/review item estimated as finalized payment.</w:t>
            </w:r>
          </w:p>
        </w:tc>
      </w:tr>
    </w:tbl>
    <w:p>
      <w:pPr>
        <w:spacing w:after="40"/>
      </w:pPr>
    </w:p>
    <w:p>
      <w:pPr>
        <w:pStyle w:val="Heading1"/>
      </w:pPr>
      <w:r>
        <w:t>8. Wealth / personal financial planning</w:t>
      </w:r>
    </w:p>
    <w:p>
      <w:pPr>
        <w:pStyle w:val="ListBullet"/>
        <w:spacing w:after="40"/>
      </w:pPr>
      <w:r>
        <w:t>Separate spendable household cash from qualified retirement assets, restricted accounts, earmarked reserves and pending transfers.</w:t>
      </w:r>
    </w:p>
    <w:p>
      <w:pPr>
        <w:pStyle w:val="ListBullet"/>
        <w:spacing w:after="40"/>
      </w:pPr>
      <w:r>
        <w:t>Account ownership, registration, tax character and destination evidence matter; similar labels do not make assets interchangeable.</w:t>
      </w:r>
    </w:p>
    <w:p>
      <w:pPr>
        <w:pStyle w:val="ListBullet"/>
        <w:spacing w:after="40"/>
      </w:pPr>
      <w:r>
        <w:t>Expected rollover, payroll enrollment, insurance action or 529 funding is not confirmed until the supporting event/approval exists.</w:t>
      </w:r>
    </w:p>
    <w:p>
      <w:pPr>
        <w:pStyle w:val="ListBullet"/>
        <w:spacing w:after="40"/>
      </w:pPr>
      <w:r>
        <w:t>Funding waterfalls preserve the client-approved priority order and protect operating/tax/emergency reserves before discretionary goals.</w:t>
      </w:r>
    </w:p>
    <w:p>
      <w:pPr>
        <w:pStyle w:val="ListBullet"/>
        <w:spacing w:after="40"/>
      </w:pPr>
      <w:r>
        <w:t>Manual close entries require the approval evidence specified by the office control policy; “reviewed” is not necessarily “authorized.”</w:t>
      </w:r>
    </w:p>
    <w:p>
      <w:pPr>
        <w:pStyle w:val="Heading1"/>
      </w:pPr>
      <w:r>
        <w:t>9. Sanity checks that catch polished mistakes</w:t>
      </w:r>
    </w:p>
    <w:p>
      <w:pPr>
        <w:pStyle w:val="ListBullet"/>
        <w:spacing w:after="40"/>
      </w:pPr>
      <w:r>
        <w:t>Does a ratio move in the direction implied by numerator/denominator changes?</w:t>
      </w:r>
    </w:p>
    <w:p>
      <w:pPr>
        <w:pStyle w:val="ListBullet"/>
        <w:spacing w:after="40"/>
      </w:pPr>
      <w:r>
        <w:t>Does a “better” liquidity outcome merely move a payment beyond the displayed horizon?</w:t>
      </w:r>
    </w:p>
    <w:p>
      <w:pPr>
        <w:pStyle w:val="ListBullet"/>
        <w:spacing w:after="40"/>
      </w:pPr>
      <w:r>
        <w:t>Does a cash-flow bridge double count collateral, accrued interest, prior distributions, or a receipt already included in opening cash?</w:t>
      </w:r>
    </w:p>
    <w:p>
      <w:pPr>
        <w:pStyle w:val="ListBullet"/>
        <w:spacing w:after="40"/>
      </w:pPr>
      <w:r>
        <w:t>Does a trend break exactly when an amendment, mapping or definition changes?</w:t>
      </w:r>
    </w:p>
    <w:p>
      <w:pPr>
        <w:pStyle w:val="ListBullet"/>
        <w:spacing w:after="40"/>
      </w:pPr>
      <w:r>
        <w:t>Does a suspicious number equal another nearby field (e.g., a client count mistaken for dollars)?</w:t>
      </w:r>
    </w:p>
    <w:p>
      <w:pPr>
        <w:pStyle w:val="ListBullet"/>
        <w:spacing w:after="40"/>
      </w:pPr>
      <w:r>
        <w:t>Can every headline figure be traced to a source or a visible derivation?</w:t>
      </w:r>
    </w:p>
    <w:p>
      <w:pPr>
        <w:pStyle w:val="Heading1"/>
      </w:pPr>
      <w:r>
        <w:t>Source basis used to build this document</w:t>
      </w:r>
    </w:p>
    <w:p>
      <w:pPr>
        <w:pStyle w:val="ListBullet"/>
        <w:spacing w:after="40"/>
      </w:pPr>
      <w:r>
        <w:t>RL_World_Finance_Expert_Onboarding_v6: expert role, five gates, fundamentally-sound standard, verifier quality, feedback formula, common finance traps, and stage-specific review expectations.</w:t>
      </w:r>
    </w:p>
    <w:p>
      <w:pPr>
        <w:pStyle w:val="ListBullet"/>
        <w:spacing w:after="40"/>
      </w:pPr>
      <w:r>
        <w:t>RL World Platform Quick Reference Cheat Sheet and Platform Overview: operational review loop, full-file review, artifact vs LLM-judge separation, and gate workflow.</w:t>
      </w:r>
    </w:p>
    <w:p>
      <w:pPr>
        <w:pStyle w:val="ListBullet"/>
        <w:spacing w:after="40"/>
      </w:pPr>
      <w:r>
        <w:t>Project_Omega_Guide_V5: benchmark design, headroom, source-file realism, golden requirements, verifier schema and rubric-quality rules, peer-review routing, and packaging standards.</w:t>
      </w:r>
    </w:p>
    <w:p>
      <w:pPr>
        <w:pStyle w:val="ListBullet"/>
        <w:spacing w:after="40"/>
      </w:pPr>
      <w:r>
        <w:t>Trainer_Review_Gate_Convergence_Report (prod data through 23 Sep 2026): latest verifier-platform rules and known non-converging QC failure modes.</w:t>
      </w:r>
    </w:p>
    <w:p>
      <w:pPr>
        <w:pStyle w:val="ListBullet"/>
        <w:spacing w:after="40"/>
      </w:pPr>
      <w:r>
        <w:t>Omega_Pod_Finance and Investment tracker: real peer-review decisions and feedback patterns.</w:t>
      </w:r>
    </w:p>
    <w:p>
      <w:pPr>
        <w:pStyle w:val="ListBullet"/>
        <w:spacing w:after="40"/>
      </w:pPr>
      <w:r>
        <w:t>Uploaded RL World task folders: completed and in-progress finance benchmark packages used for worked examples and evaluation cases.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Project Omega - internal reviewer aid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  <w:style w:type="paragraph" w:customStyle="1" w:styleId="CodeSmall">
    <w:name w:val="Code Small"/>
    <w:pPr>
      <w:spacing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