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Real Feedback Examples</w:t>
      </w:r>
    </w:p>
    <w:p>
      <w:pPr>
        <w:jc w:val="center"/>
      </w:pPr>
      <w:r>
        <w:rPr>
          <w:rFonts w:ascii="Aptos" w:hAnsi="Aptos"/>
          <w:color w:val="666666"/>
          <w:sz w:val="22"/>
        </w:rPr>
        <w:t>Project tracker examples rewritten into the Omega note standard</w:t>
      </w:r>
    </w:p>
    <w:p>
      <w:pPr>
        <w:jc w:val="center"/>
      </w:pPr>
      <w:r>
        <w:rPr>
          <w:color w:val="666666"/>
          <w:sz w:val="17"/>
        </w:rPr>
        <w:t>Project Omega | Finance &amp; Insurance reviewer knowledge pack | 25 Sep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</w:rPr>
              <w:t xml:space="preserve">How these were prepared  </w:t>
            </w:r>
            <w:r>
              <w:t>The cases below come from real peer-review notes in the supplied Omega tracker. Long narrative notes were compressed into one-fix regeneration notes so the GPT learns the desired LOCATION → EVIDENCE → IMPLICATION → EXACT FIX structure.</w:t>
            </w:r>
          </w:p>
        </w:tc>
      </w:tr>
    </w:tbl>
    <w:p>
      <w:pPr>
        <w:spacing w:after="20"/>
      </w:pPr>
    </w:p>
    <w:p>
      <w:pPr>
        <w:pStyle w:val="Heading2"/>
      </w:pPr>
      <w:r>
        <w:t>1. Source workbook appears populated but extracted values are blank</w:t>
      </w:r>
    </w:p>
    <w:p>
      <w:r>
        <w:t>LOCATION → Source Data — 02_Rent_Roll_and_Lease_Abstracts.xlsx, H6:H17 and totals D20/H20</w:t>
      </w:r>
    </w:p>
    <w:p>
      <w:r>
        <w:t>EVIDENCE → Annual base-rent and total cells are formulas with no cached values, so text extraction exposes blanks even though adjacent SF and rent/SF permit reconstruction.</w:t>
      </w:r>
    </w:p>
    <w:p>
      <w:r>
        <w:t>IMPLICATION → The grader/solver may receive an incomplete source representation and different systems may reach different results.</w:t>
      </w:r>
    </w:p>
    <w:p>
      <w:r>
        <w:t>EXACT FIX → Recalculate and save the workbook so H6:H17, D20 and H20 have current cached values; do not change the underlying lease economics.</w:t>
      </w:r>
    </w:p>
    <w:p>
      <w:pPr>
        <w:pStyle w:val="Heading2"/>
      </w:pPr>
      <w:r>
        <w:t>2. Reasoning arithmetic does not support the stated multiple</w:t>
      </w:r>
    </w:p>
    <w:p>
      <w:r>
        <w:t>LOCATION → Golden — Reasoning.docx, equity-multiple calculation</w:t>
      </w:r>
    </w:p>
    <w:p>
      <w:r>
        <w:t>EVIDENCE → The reasoning states $27,583,126 / ($19,181,250 + $1,480,903) = 1.37x, but that division is 1.3350x. The correct positive-distribution numerator is $28,211,430, which gives about 1.37x.</w:t>
      </w:r>
    </w:p>
    <w:p>
      <w:r>
        <w:t>IMPLICATION → The final answer happens to be right, but the audit trail is mathematically wrong and cannot support the conclusion.</w:t>
      </w:r>
    </w:p>
    <w:p>
      <w:r>
        <w:t>EXACT FIX → Replace the numerator with $28,211,430 and show the four contributing positive distributions so the reasoning ties to the workbook.</w:t>
      </w:r>
    </w:p>
    <w:p>
      <w:pPr>
        <w:pStyle w:val="Heading2"/>
      </w:pPr>
      <w:r>
        <w:t>3. Source file leaks the answer the task is supposed to derive</w:t>
      </w:r>
    </w:p>
    <w:p>
      <w:r>
        <w:t>LOCATION → Source Data — ytd_debt_amortization_and_account_map.xlsx</w:t>
      </w:r>
    </w:p>
    <w:p>
      <w:r>
        <w:t>EVIDENCE → The workbook includes “Supported 04/30 Balance”, an April component split, an “Unsupported Difference Flag”, and a support index that states close handling.</w:t>
      </w:r>
    </w:p>
    <w:p>
      <w:r>
        <w:t>IMPLICATION → These fields pre-solve the reconciliation and remove the intended expert reasoning/headroom.</w:t>
      </w:r>
    </w:p>
    <w:p>
      <w:r>
        <w:t>EXACT FIX → Remove the supported-balance, pre-solved component, exception-flag and close-handling answer fields; retain only the raw records needed to derive them.</w:t>
      </w:r>
    </w:p>
    <w:p>
      <w:pPr>
        <w:pStyle w:val="Heading2"/>
      </w:pPr>
      <w:r>
        <w:t>4. General-ledger running balance is mechanically wrong</w:t>
      </w:r>
    </w:p>
    <w:p>
      <w:r>
        <w:t>LOCATION → Source Data — april_2025_qbo_loan_liability_gl_detail.csv</w:t>
      </w:r>
    </w:p>
    <w:p>
      <w:r>
        <w:t>EVIDENCE → The running-balance field equals each row’s amount instead of the cumulative account balance on 107/140 rows; the first observed failure shows -147.38 where the cumulative balance should be 122.09.</w:t>
      </w:r>
    </w:p>
    <w:p>
      <w:r>
        <w:t>IMPLICATION → A real reviewer cannot rely on the record and any tie-out using the field can be corrupted.</w:t>
      </w:r>
    </w:p>
    <w:p>
      <w:r>
        <w:t>EXACT FIX → Regenerate the running balance as a true per-account cumulative total while preserving the original transaction amounts and order.</w:t>
      </w:r>
    </w:p>
    <w:p>
      <w:pPr>
        <w:pStyle w:val="Heading2"/>
      </w:pPr>
      <w:r>
        <w:t>5. Golden workbook and memo disagree on a material launch condition</w:t>
      </w:r>
    </w:p>
    <w:p>
      <w:r>
        <w:t>LOCATION → Golden — launch-conditions workbook vs memo, Iloilo corridor</w:t>
      </w:r>
    </w:p>
    <w:p>
      <w:r>
        <w:t>EVIDENCE → The memo requires an executed distribution-utility connection agreement before energization, but the workbook’s launch-conditions tab omits that condition.</w:t>
      </w:r>
    </w:p>
    <w:p>
      <w:r>
        <w:t>IMPLICATION → The package gives two different operational go-live standards for the same corridor.</w:t>
      </w:r>
    </w:p>
    <w:p>
      <w:r>
        <w:t>EXACT FIX → Add the executed connection agreement as an explicit Iloilo launch condition in the workbook, matching the memo; do not change the memo rule.</w:t>
      </w:r>
    </w:p>
    <w:p>
      <w:pPr>
        <w:pStyle w:val="Heading2"/>
      </w:pPr>
      <w:r>
        <w:t>6. Verifier imposes structure absent from the prompt</w:t>
      </w:r>
    </w:p>
    <w:p>
      <w:r>
        <w:t>LOCATION → Verifier — criterion requiring raw source tabs / owner-provenance fields</w:t>
      </w:r>
    </w:p>
    <w:p>
      <w:r>
        <w:t>EVIDENCE → The prompt does not require those specific workbook structures, yet the verifier makes them part of pass/fail.</w:t>
      </w:r>
    </w:p>
    <w:p>
      <w:r>
        <w:t>IMPLICATION → A faithful and materially correct answer can fail for an invented implementation requirement.</w:t>
      </w:r>
    </w:p>
    <w:p>
      <w:r>
        <w:t>EXACT FIX → Widen the verifier to test the underlying traceability/outcome visible in the deliverable, or add the structure to the prompt only if it is genuinely required by the business task.</w:t>
      </w:r>
    </w:p>
    <w:p>
      <w:pPr>
        <w:pStyle w:val="Heading2"/>
      </w:pPr>
      <w:r>
        <w:t>7. Verifier asks for something the grader cannot observe</w:t>
      </w:r>
    </w:p>
    <w:p>
      <w:r>
        <w:t>LOCATION → Verifier — formula-liveness / Excel Table / named-range check</w:t>
      </w:r>
    </w:p>
    <w:p>
      <w:r>
        <w:t>EVIDENCE → The scoring path sees extracted/rendered content, not formula objects, Table objects or named ranges.</w:t>
      </w:r>
    </w:p>
    <w:p>
      <w:r>
        <w:t>IMPLICATION → The verifier can false-fail a correct workbook because the required property is outside its observation model.</w:t>
      </w:r>
    </w:p>
    <w:p>
      <w:r>
        <w:t>EXACT FIX → Rewrite the verifier around observable evidence, or route the need to a workbook-aware check if the platform supports one; do not grade an invisible property.</w:t>
      </w:r>
    </w:p>
    <w:p>
      <w:pPr>
        <w:pStyle w:val="Heading2"/>
      </w:pPr>
      <w:r>
        <w:t>8. Automated “answer-key leakage” flag is a false positive</w:t>
      </w:r>
    </w:p>
    <w:p>
      <w:r>
        <w:t>LOCATION → LLM judge check — inlined expected values in verifier rubric</w:t>
      </w:r>
    </w:p>
    <w:p>
      <w:r>
        <w:t>EVIDENCE → The solver receives only the prompt and source data; it does not see verifier prompts. Inlined accepted values are required to make a single-file rubric self-contained.</w:t>
      </w:r>
    </w:p>
    <w:p>
      <w:r>
        <w:t>IMPLICATION → Removing anchors would make the verifier vague or ungradeable without reducing any real solver leakage risk.</w:t>
      </w:r>
    </w:p>
    <w:p>
      <w:r>
        <w:t>EXACT FIX → REJECT the remediation. Keep the inlined anchors; confirm they are grounded and accept all defensible values.</w:t>
      </w:r>
    </w:p>
    <w:p>
      <w:pPr>
        <w:pStyle w:val="Heading2"/>
      </w:pPr>
      <w:r>
        <w:t>9. Pipeline conversion banner is not source content</w:t>
      </w:r>
    </w:p>
    <w:p>
      <w:r>
        <w:t>LOCATION → LLM judge check — alleged phrase in CFO_Correspondence_Q2_2025.docx</w:t>
      </w:r>
    </w:p>
    <w:p>
      <w:r>
        <w:t>EVIDENCE → Direct case-insensitive searches of the document XML and task folder find no “degraded best-effort text extraction” phrase; the string comes from the conversion fallback.</w:t>
      </w:r>
    </w:p>
    <w:p>
      <w:r>
        <w:t>IMPLICATION → Treating the banner as source content would incorrectly reject a sound task for a pipeline artifact.</w:t>
      </w:r>
    </w:p>
    <w:p>
      <w:r>
        <w:t>EXACT FIX → DISAGREE with the judge and route the conversion banner to pipeline/QC escalation; make no source-file edit.</w:t>
      </w:r>
    </w:p>
    <w:p>
      <w:pPr>
        <w:pStyle w:val="Heading2"/>
      </w:pPr>
      <w:r>
        <w:t>10. Prompt fails to identify the full evidence set</w:t>
      </w:r>
    </w:p>
    <w:p>
      <w:r>
        <w:t>LOCATION → Prompt — source-file references</w:t>
      </w:r>
    </w:p>
    <w:p>
      <w:r>
        <w:t>EVIDENCE → The working folder contains source documents that the prompt never names or otherwise incorporates into the evidence set.</w:t>
      </w:r>
    </w:p>
    <w:p>
      <w:r>
        <w:t>IMPLICATION → A solver cannot know whether those files are required evidence, optional context, or stray packaging, so grading can become unfair.</w:t>
      </w:r>
    </w:p>
    <w:p>
      <w:r>
        <w:t>EXACT FIX → Either reference every required source in the prompt/evidence description or remove unrelated files from Source Documents; then align verifier coverage to the final source set.</w:t>
      </w:r>
    </w:p>
    <w:p>
      <w:pPr>
        <w:pStyle w:val="Heading1"/>
      </w:pPr>
      <w:r>
        <w:t>What strong feedback has in common</w:t>
      </w:r>
    </w:p>
    <w:p>
      <w:pPr>
        <w:pStyle w:val="ListBullet"/>
        <w:spacing w:after="40"/>
      </w:pPr>
      <w:r>
        <w:t>It names the artifact and the exact offender.</w:t>
      </w:r>
    </w:p>
    <w:p>
      <w:pPr>
        <w:pStyle w:val="ListBullet"/>
        <w:spacing w:after="40"/>
      </w:pPr>
      <w:r>
        <w:t>It proves the issue with a calculation, locator, cross-file comparison or platform rule.</w:t>
      </w:r>
    </w:p>
    <w:p>
      <w:pPr>
        <w:pStyle w:val="ListBullet"/>
        <w:spacing w:after="40"/>
      </w:pPr>
      <w:r>
        <w:t>It explains materiality without exaggeration.</w:t>
      </w:r>
    </w:p>
    <w:p>
      <w:pPr>
        <w:pStyle w:val="ListBullet"/>
        <w:spacing w:after="40"/>
      </w:pPr>
      <w:r>
        <w:t>It gives a narrow repair and does not redesign sound parts of the task.</w:t>
      </w:r>
    </w:p>
    <w:p>
      <w:pPr>
        <w:pStyle w:val="ListBullet"/>
        <w:spacing w:after="40"/>
      </w:pPr>
      <w:r>
        <w:t>It distinguishes task/golden defects from verifier defects and pipeline false positives.</w:t>
      </w:r>
    </w:p>
    <w:p>
      <w:pPr>
        <w:pStyle w:val="Heading1"/>
      </w:pPr>
      <w:r>
        <w:t>Source basis used to build this document</w:t>
      </w:r>
    </w:p>
    <w:p>
      <w:pPr>
        <w:pStyle w:val="ListBullet"/>
        <w:spacing w:after="40"/>
      </w:pPr>
      <w:r>
        <w:t>RL_World_Finance_Expert_Onboarding_v6: expert role, five gates, fundamentally-sound standard, verifier quality, feedback formula, common finance traps, and stage-specific review expectations.</w:t>
      </w:r>
    </w:p>
    <w:p>
      <w:pPr>
        <w:pStyle w:val="ListBullet"/>
        <w:spacing w:after="40"/>
      </w:pPr>
      <w:r>
        <w:t>RL World Platform Quick Reference Cheat Sheet and Platform Overview: operational review loop, full-file review, artifact vs LLM-judge separation, and gate workflow.</w:t>
      </w:r>
    </w:p>
    <w:p>
      <w:pPr>
        <w:pStyle w:val="ListBullet"/>
        <w:spacing w:after="40"/>
      </w:pPr>
      <w:r>
        <w:t>Project_Omega_Guide_V5: benchmark design, headroom, source-file realism, golden requirements, verifier schema and rubric-quality rules, peer-review routing, and packaging standards.</w:t>
      </w:r>
    </w:p>
    <w:p>
      <w:pPr>
        <w:pStyle w:val="ListBullet"/>
        <w:spacing w:after="40"/>
      </w:pPr>
      <w:r>
        <w:t>Trainer_Review_Gate_Convergence_Report (prod data through 23 Sep 2026): latest verifier-platform rules and known non-converging QC failure modes.</w:t>
      </w:r>
    </w:p>
    <w:p>
      <w:pPr>
        <w:pStyle w:val="ListBullet"/>
        <w:spacing w:after="40"/>
      </w:pPr>
      <w:r>
        <w:t>Omega_Pod_Finance and Investment tracker: real peer-review decisions and feedback patterns.</w:t>
      </w:r>
    </w:p>
    <w:p>
      <w:pPr>
        <w:pStyle w:val="ListBullet"/>
        <w:spacing w:after="40"/>
      </w:pPr>
      <w:r>
        <w:t>Uploaded RL World task folders: completed and in-progress finance benchmark packages used for worked examples and evaluation cases.</w:t>
      </w:r>
    </w:p>
    <w:p>
      <w:r>
        <w:br w:type="page"/>
      </w:r>
    </w:p>
    <w:p>
      <w:pPr>
        <w:pStyle w:val="Heading1"/>
      </w:pPr>
      <w:r>
        <w:t>V2 Additional Feedback Examples</w:t>
      </w:r>
    </w:p>
    <w:p>
      <w:pPr>
        <w:pStyle w:val="Heading2"/>
      </w:pPr>
      <w:r>
        <w:t>11. Legacy verifier-count check conflicts with current platform rule</w:t>
      </w:r>
    </w:p>
    <w:p>
      <w:r>
        <w:rPr>
          <w:b w:val="0"/>
        </w:rPr>
        <w:t>LOCATION → LLM judge / verifier-set check — requested minimum verifier count.</w:t>
      </w:r>
    </w:p>
    <w:p>
      <w:r>
        <w:rPr>
          <w:b w:val="0"/>
        </w:rPr>
        <w:t>EVIDENCE → The current verifier platform guidance removes count targeting and directs reviewers to add/merge/split only for coverage and quality; the set already maps every prompt obligation to a unique owner.</w:t>
      </w:r>
    </w:p>
    <w:p>
      <w:r>
        <w:rPr>
          <w:b w:val="0"/>
        </w:rPr>
        <w:t>IMPLICATION → Adding filler criteria only to reach a number can create overlap and non-atomicity without improving scoring.</w:t>
      </w:r>
    </w:p>
    <w:p>
      <w:r>
        <w:rPr>
          <w:b w:val="0"/>
        </w:rPr>
        <w:t>EXACT FIX → REJECT the count-only remediation. Keep the current set size unless a specific uncovered obligation is identified.</w:t>
      </w:r>
    </w:p>
    <w:p>
      <w:pPr>
        <w:pStyle w:val="Heading2"/>
      </w:pPr>
      <w:r>
        <w:t>12. Truncation: pipeline flag versus real incomplete range</w:t>
      </w:r>
    </w:p>
    <w:p>
      <w:r>
        <w:rPr>
          <w:b w:val="0"/>
        </w:rPr>
        <w:t>LOCATION → Verifier v[N] — extraction/range condition.</w:t>
      </w:r>
    </w:p>
    <w:p>
      <w:r>
        <w:rPr>
          <w:b w:val="0"/>
        </w:rPr>
        <w:t>EVIDENCE → The criterion fails merely when the extractor reports truncated=true; it does not identify a missing business record or an incomplete source population.</w:t>
      </w:r>
    </w:p>
    <w:p>
      <w:r>
        <w:rPr>
          <w:b w:val="0"/>
        </w:rPr>
        <w:t>IMPLICATION → A correct deliverable can fail because of a pipeline token-budget event outside the business task.</w:t>
      </w:r>
    </w:p>
    <w:p>
      <w:r>
        <w:rPr>
          <w:b w:val="0"/>
        </w:rPr>
        <w:t>EXACT FIX → Remove the truncated=true fail condition. If the actual business range omits records, repair that separate population defect instead.</w:t>
      </w:r>
    </w:p>
    <w:p>
      <w:pPr>
        <w:pStyle w:val="Heading2"/>
      </w:pPr>
      <w:r>
        <w:t>13. Population completeness belongs in rubric text, not a filler mechanism</w:t>
      </w:r>
    </w:p>
    <w:p>
      <w:r>
        <w:rPr>
          <w:b w:val="0"/>
        </w:rPr>
        <w:t>LOCATION → Verifier v[N] — population-selection criterion.</w:t>
      </w:r>
    </w:p>
    <w:p>
      <w:r>
        <w:rPr>
          <w:b w:val="0"/>
        </w:rPr>
        <w:t>EVIDENCE → The task requires the complete source population, but the proposed remediation adds a filename/path or deterministic-count check rather than grading the selected IDs visible in the deliverable.</w:t>
      </w:r>
    </w:p>
    <w:p>
      <w:r>
        <w:rPr>
          <w:b w:val="0"/>
        </w:rPr>
        <w:t>IMPLICATION → The check can pass/fail on mechanics unrelated to whether the substantive population is correct.</w:t>
      </w:r>
    </w:p>
    <w:p>
      <w:r>
        <w:rPr>
          <w:b w:val="0"/>
        </w:rPr>
        <w:t>EXACT FIX → Keep a rubric verifier that PASSes only when the deliverable’s selected ID set equals the inlined authoritative set and FAILs on any omission or spurious ID; do not add a path/string-only check.</w:t>
      </w:r>
    </w:p>
    <w:p>
      <w:pPr>
        <w:pStyle w:val="Heading2"/>
      </w:pPr>
      <w:r>
        <w:t>14. Prompt quantifier and rubric disagree</w:t>
      </w:r>
    </w:p>
    <w:p>
      <w:r>
        <w:rPr>
          <w:b w:val="0"/>
        </w:rPr>
        <w:t>LOCATION → Prompt [sentence] and verifier v[N].</w:t>
      </w:r>
    </w:p>
    <w:p>
      <w:r>
        <w:rPr>
          <w:b w:val="0"/>
        </w:rPr>
        <w:t>EVIDENCE → The prompt asks for “one” exception per entity while v[N] requires every exception in the population.</w:t>
      </w:r>
    </w:p>
    <w:p>
      <w:r>
        <w:rPr>
          <w:b w:val="0"/>
        </w:rPr>
        <w:t>IMPLICATION → An obedient solver can satisfy the prompt and still fail the rubric.</w:t>
      </w:r>
    </w:p>
    <w:p>
      <w:r>
        <w:rPr>
          <w:b w:val="0"/>
        </w:rPr>
        <w:t>EXACT FIX → Decide the intended scope at the prompt layer. If full-population coverage is required, change “one” to “each/all applicable” in the prompt and then align v[N]; otherwise narrow v[N] to the stated single-item obligation.</w:t>
      </w:r>
    </w:p>
    <w:p>
      <w:pPr>
        <w:pStyle w:val="Heading2"/>
      </w:pPr>
      <w:r>
        <w:t>15. PowerPoint adjacency is not reliably visible to the text judge</w:t>
      </w:r>
    </w:p>
    <w:p>
      <w:r>
        <w:rPr>
          <w:b w:val="0"/>
        </w:rPr>
        <w:t>LOCATION → Verifier v[N] — slide-layout/adjoining-text requirement.</w:t>
      </w:r>
    </w:p>
    <w:p>
      <w:r>
        <w:rPr>
          <w:b w:val="0"/>
        </w:rPr>
        <w:t>EVIDENCE → The criterion infers that two text boxes are adjacent from extraction order, but the runtime does not guarantee that extracted text order preserves visual proximity.</w:t>
      </w:r>
    </w:p>
    <w:p>
      <w:r>
        <w:rPr>
          <w:b w:val="0"/>
        </w:rPr>
        <w:t>IMPLICATION → A visually correct slide can false-fail, or a visually wrong slide can pass.</w:t>
      </w:r>
    </w:p>
    <w:p>
      <w:r>
        <w:rPr>
          <w:b w:val="0"/>
        </w:rPr>
        <w:t>EXACT FIX → Rewrite the criterion around observable slide-specific labels/content or route the requirement to a renderer/layout-aware check; do not infer adjacency from text order.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Project Omega - internal reviewer aid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  <w:style w:type="paragraph" w:customStyle="1" w:styleId="CodeSmall">
    <w:name w:val="Code Small"/>
    <w:pPr>
      <w:spacing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