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2. Income Inequality and Homicide Rates</w:t>
      </w:r>
    </w:p>
    <w:tbl>
      <w:tblPr>
        <w:tblStyle w:val="Table"/>
        <w:tblW w:type="pct" w:w="4817"/>
        <w:tblLayout w:type="fixed"/>
        <w:tblLook w:firstRow="1" w:lastRow="1" w:firstColumn="0" w:lastColumn="0" w:noHBand="0" w:noVBand="0" w:val="0020"/>
        <w:tblCaption w:val="Table 2. Income Inequality and Homicide Rates"/>
      </w:tblPr>
      <w:tblGrid>
        <w:gridCol w:w="2028"/>
        <w:gridCol w:w="1255"/>
        <w:gridCol w:w="1255"/>
        <w:gridCol w:w="1255"/>
        <w:gridCol w:w="183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Pooled OLS</w:t>
            </w:r>
          </w:p>
        </w:tc>
        <w:tc>
          <w:tcPr/>
          <w:p>
            <w:pPr>
              <w:pStyle w:val="Compact"/>
            </w:pPr>
            <w:r>
              <w:t xml:space="preserve">Country FE</w:t>
            </w:r>
          </w:p>
        </w:tc>
        <w:tc>
          <w:tcPr/>
          <w:p>
            <w:pPr>
              <w:pStyle w:val="Compact"/>
            </w:pPr>
            <w:r>
              <w:t xml:space="preserve">Two-Way FE</w:t>
            </w:r>
          </w:p>
        </w:tc>
        <w:tc>
          <w:tcPr/>
          <w:p>
            <w:pPr>
              <w:pStyle w:val="Compact"/>
            </w:pPr>
            <w:r>
              <w:t xml:space="preserve">FE +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1.755*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(1.049)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Gini coefficient</w:t>
            </w:r>
          </w:p>
        </w:tc>
        <w:tc>
          <w:tcPr/>
          <w:p>
            <w:pPr>
              <w:pStyle w:val="Compact"/>
            </w:pPr>
            <w:r>
              <w:t xml:space="preserve">0.088***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(0.010)</w:t>
            </w:r>
          </w:p>
        </w:tc>
        <w:tc>
          <w:tcPr/>
          <w:p>
            <w:pPr>
              <w:pStyle w:val="Compact"/>
            </w:pPr>
            <w:r>
              <w:t xml:space="preserve">(0.031)</w:t>
            </w: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GDP per capita</w:t>
            </w:r>
          </w:p>
        </w:tc>
        <w:tc>
          <w:tcPr/>
          <w:p>
            <w:pPr>
              <w:pStyle w:val="Compact"/>
            </w:pPr>
            <w:r>
              <w:t xml:space="preserve">-0.143***</w:t>
            </w:r>
          </w:p>
        </w:tc>
        <w:tc>
          <w:tcPr/>
          <w:p>
            <w:pPr>
              <w:pStyle w:val="Compact"/>
            </w:pPr>
            <w:r>
              <w:t xml:space="preserve">-1.838***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(0.041)</w:t>
            </w:r>
          </w:p>
        </w:tc>
        <w:tc>
          <w:tcPr/>
          <w:p>
            <w:pPr>
              <w:pStyle w:val="Compact"/>
            </w:pPr>
            <w:r>
              <w:t xml:space="preserve">(0.303)</w:t>
            </w:r>
          </w:p>
        </w:tc>
        <w:tc>
          <w:tcPr/>
          <w:p>
            <w:pPr>
              <w:pStyle w:val="Compact"/>
            </w:pPr>
            <w:r>
              <w:t xml:space="preserve">(0.367)</w:t>
            </w:r>
          </w:p>
        </w:tc>
        <w:tc>
          <w:tcPr/>
          <w:p>
            <w:pPr>
              <w:pStyle w:val="Compact"/>
            </w:pPr>
            <w:r>
              <w:t xml:space="preserve">(0.357)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Democracy index</w:t>
            </w:r>
          </w:p>
        </w:tc>
        <w:tc>
          <w:tcPr/>
          <w:p>
            <w:pPr>
              <w:pStyle w:val="Compact"/>
            </w:pPr>
            <w:r>
              <w:t xml:space="preserve">-0.209***</w:t>
            </w:r>
          </w:p>
        </w:tc>
        <w:tc>
          <w:tcPr/>
          <w:p>
            <w:pPr>
              <w:pStyle w:val="Compact"/>
            </w:pPr>
            <w:r>
              <w:t xml:space="preserve">0.413**</w:t>
            </w:r>
          </w:p>
        </w:tc>
        <w:tc>
          <w:tcPr/>
          <w:p>
            <w:pPr>
              <w:pStyle w:val="Compact"/>
            </w:pPr>
            <w:r>
              <w:t xml:space="preserve">0.225</w:t>
            </w:r>
          </w:p>
        </w:tc>
        <w:tc>
          <w:tcPr/>
          <w:p>
            <w:pPr>
              <w:pStyle w:val="Compact"/>
            </w:pPr>
            <w:r>
              <w:t xml:space="preserve">0.223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(0.059)</w:t>
            </w:r>
          </w:p>
        </w:tc>
        <w:tc>
          <w:tcPr/>
          <w:p>
            <w:pPr>
              <w:pStyle w:val="Compact"/>
            </w:pPr>
            <w:r>
              <w:t xml:space="preserve">(0.179)</w:t>
            </w:r>
          </w:p>
        </w:tc>
        <w:tc>
          <w:tcPr/>
          <w:p>
            <w:pPr>
              <w:pStyle w:val="Compact"/>
            </w:pPr>
            <w:r>
              <w:t xml:space="preserve">(0.162)</w:t>
            </w:r>
          </w:p>
        </w:tc>
        <w:tc>
          <w:tcPr/>
          <w:p>
            <w:pPr>
              <w:pStyle w:val="Compact"/>
            </w:pPr>
            <w:r>
              <w:t xml:space="preserve">(0.162)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Gini x Democracy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2185</w:t>
            </w:r>
          </w:p>
        </w:tc>
        <w:tc>
          <w:tcPr/>
          <w:p>
            <w:pPr>
              <w:pStyle w:val="Compact"/>
            </w:pPr>
            <w:r>
              <w:t xml:space="preserve">2185</w:t>
            </w:r>
          </w:p>
        </w:tc>
        <w:tc>
          <w:tcPr/>
          <w:p>
            <w:pPr>
              <w:pStyle w:val="Compact"/>
            </w:pPr>
            <w:r>
              <w:t xml:space="preserve">2185</w:t>
            </w:r>
          </w:p>
        </w:tc>
        <w:tc>
          <w:tcPr/>
          <w:p>
            <w:pPr>
              <w:pStyle w:val="Compact"/>
            </w:pPr>
            <w:r>
              <w:t xml:space="preserve">2185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-0.021</w:t>
            </w:r>
          </w:p>
        </w:tc>
        <w:tc>
          <w:tcPr/>
          <w:p>
            <w:pPr>
              <w:pStyle w:val="Compact"/>
            </w:pPr>
            <w:r>
              <w:t xml:space="preserve">-0.048</w:t>
            </w:r>
          </w:p>
        </w:tc>
        <w:tc>
          <w:tcPr/>
          <w:p>
            <w:pPr>
              <w:pStyle w:val="Compact"/>
            </w:pPr>
            <w:r>
              <w:t xml:space="preserve">-0.048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Std.Errors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Cluster-robust standard errors (country level) in parentheses.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*** p &lt; 0.01, ** p &lt; 0.05, * p &lt; 0.10.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Dependent variable: Log homicide rate per 100,000 population.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2026-06-05T00:53:46Z</dcterms:created>
  <dcterms:modified xsi:type="dcterms:W3CDTF">2026-06-05T00:53:46Z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