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465421C3">
      <w:pPr>
        <w:spacing w:after="80"/>
        <w:jc w:val="left"/>
      </w:pPr>
      <w:r>
        <w:rPr>
          <w:rFonts w:ascii="Segoe UI" w:hAnsi="Segoe UI" w:eastAsia="ＭＳ 明朝" w:cs="Segoe UI" w:eastAsiaTheme="minorEastAsia" w:csTheme="minorBidi"/>
          <w:b/>
          <w:bCs/>
          <w:color w:val="4F46E5"/>
          <w:sz w:val="19"/>
          <w:szCs w:val="22"/>
        </w:rPr>
        <w:t>TECHNICAL SPECIFICATION &amp; ARCHITECTURE REPORT</w:t>
      </w:r>
    </w:p>
    <w:p w14:paraId="2E151B2F">
      <w:pPr>
        <w:spacing w:after="160"/>
      </w:pPr>
      <w:r>
        <w:rPr>
          <w:rFonts w:ascii="Segoe UI" w:hAnsi="Segoe UI" w:eastAsia="ＭＳ 明朝" w:cs="Segoe UI" w:eastAsiaTheme="minorEastAsia" w:csTheme="minorBidi"/>
          <w:b/>
          <w:bCs/>
          <w:color w:val="0F172A"/>
          <w:sz w:val="52"/>
          <w:szCs w:val="22"/>
        </w:rPr>
        <w:t>Scholarly Reference Validation System</w:t>
      </w:r>
    </w:p>
    <w:p w14:paraId="61DD0C02">
      <w:pPr>
        <w:spacing w:after="320"/>
      </w:pPr>
      <w:r>
        <w:rPr>
          <w:rFonts w:ascii="Segoe UI" w:hAnsi="Segoe UI" w:eastAsia="ＭＳ 明朝" w:cs="Segoe UI" w:eastAsiaTheme="minorEastAsia" w:csTheme="minorBidi"/>
          <w:color w:val="64748B"/>
          <w:sz w:val="26"/>
          <w:szCs w:val="22"/>
        </w:rPr>
        <w:t>Comprehensive End-to-End System Architecture, Multi-Provider Scientometric Pipeline, Decision Taxonomy, and Workflow Specification</w:t>
      </w:r>
    </w:p>
    <w:tbl>
      <w:tblPr>
        <w:tblW w:w="0" w:type="auto"/>
        <w:jc w:val="center"/>
        <w:tblCellMar>
          <w:top w:w="0" w:type="dxa"/>
          <w:left w:w="108" w:type="dxa"/>
          <w:bottom w:w="0" w:type="dxa"/>
          <w:right w:w="108" w:type="dxa"/>
        </w:tblCellMar>
        <w:tblLook w:firstRow="1" w:firstColumn="1" w:noVBand="1"/>
      </w:tblPr>
      <w:tblGrid>
        <w:gridCol w:w="4680"/>
        <w:gridCol w:w="4680"/>
      </w:tblGrid>
      <w:tr>
        <w:tc>
          <w:tcPr>
            <w:tcW w:w="3168" w:type="dxa"/>
            <w:shd w:val="clear" w:fill="F8FAFC"/>
            <w:tcMar>
              <w:top w:w="60" w:type="dxa"/>
              <w:left w:w="100" w:type="dxa"/>
              <w:bottom w:w="60" w:type="dxa"/>
              <w:right w:w="100" w:type="dxa"/>
            </w:tcMar>
          </w:tcPr>
          <w:p w14:paraId="1BFFF78F">
            <w:pPr>
              <w:spacing w:after="0"/>
            </w:pPr>
            <w:r>
              <w:rPr>
                <w:rFonts w:ascii="Segoe UI" w:hAnsi="Segoe UI" w:eastAsia="ＭＳ 明朝" w:cs="Segoe UI" w:eastAsiaTheme="minorEastAsia" w:csTheme="minorBidi"/>
                <w:b/>
                <w:bCs/>
                <w:color w:val="475569"/>
                <w:sz w:val="19"/>
                <w:szCs w:val="22"/>
              </w:rPr>
              <w:t>Institutional Project:</w:t>
            </w:r>
          </w:p>
        </w:tc>
        <w:tc>
          <w:tcPr>
            <w:tcW w:w="6192" w:type="dxa"/>
            <w:shd w:val="clear" w:fill="FFFFFF"/>
            <w:tcMar>
              <w:top w:w="60" w:type="dxa"/>
              <w:left w:w="100" w:type="dxa"/>
              <w:bottom w:w="60" w:type="dxa"/>
              <w:right w:w="100" w:type="dxa"/>
            </w:tcMar>
          </w:tcPr>
          <w:p w14:paraId="759D7578">
            <w:pPr>
              <w:spacing w:after="0"/>
            </w:pPr>
            <w:r>
              <w:rPr>
                <w:rFonts w:ascii="Segoe UI" w:hAnsi="Segoe UI" w:eastAsia="ＭＳ 明朝" w:cs="Segoe UI" w:eastAsiaTheme="minorEastAsia" w:csTheme="minorBidi"/>
                <w:color w:val="0F172A"/>
                <w:sz w:val="19"/>
                <w:szCs w:val="22"/>
              </w:rPr>
              <w:t>Research Automation &amp; Scientometrics Studio</w:t>
            </w:r>
          </w:p>
        </w:tc>
      </w:tr>
      <w:tr>
        <w:tc>
          <w:tcPr>
            <w:tcW w:w="3168" w:type="dxa"/>
            <w:shd w:val="clear" w:fill="F8FAFC"/>
            <w:tcMar>
              <w:top w:w="60" w:type="dxa"/>
              <w:left w:w="100" w:type="dxa"/>
              <w:bottom w:w="60" w:type="dxa"/>
              <w:right w:w="100" w:type="dxa"/>
            </w:tcMar>
          </w:tcPr>
          <w:p w14:paraId="010B8AD1">
            <w:pPr>
              <w:spacing w:after="0"/>
            </w:pPr>
            <w:r>
              <w:rPr>
                <w:rFonts w:ascii="Segoe UI" w:hAnsi="Segoe UI" w:eastAsia="ＭＳ 明朝" w:cs="Segoe UI" w:eastAsiaTheme="minorEastAsia" w:csTheme="minorBidi"/>
                <w:b/>
                <w:bCs/>
                <w:color w:val="475569"/>
                <w:sz w:val="19"/>
                <w:szCs w:val="22"/>
              </w:rPr>
              <w:t>Environment / Affiliation:</w:t>
            </w:r>
          </w:p>
        </w:tc>
        <w:tc>
          <w:tcPr>
            <w:tcW w:w="6192" w:type="dxa"/>
            <w:shd w:val="clear" w:fill="FFFFFF"/>
            <w:tcMar>
              <w:top w:w="60" w:type="dxa"/>
              <w:left w:w="100" w:type="dxa"/>
              <w:bottom w:w="60" w:type="dxa"/>
              <w:right w:w="100" w:type="dxa"/>
            </w:tcMar>
          </w:tcPr>
          <w:p w14:paraId="31DB54BC">
            <w:pPr>
              <w:spacing w:after="0"/>
            </w:pPr>
            <w:r>
              <w:rPr>
                <w:rFonts w:ascii="Segoe UI" w:hAnsi="Segoe UI" w:eastAsia="ＭＳ 明朝" w:cs="Segoe UI" w:eastAsiaTheme="minorEastAsia" w:csTheme="minorBidi"/>
                <w:color w:val="0F172A"/>
                <w:sz w:val="19"/>
                <w:szCs w:val="22"/>
              </w:rPr>
              <w:t>Indian Institute of Technology (IIT) Delhi</w:t>
            </w:r>
          </w:p>
        </w:tc>
      </w:tr>
      <w:tr>
        <w:tc>
          <w:tcPr>
            <w:tcW w:w="3168" w:type="dxa"/>
            <w:shd w:val="clear" w:fill="F8FAFC"/>
            <w:tcMar>
              <w:top w:w="60" w:type="dxa"/>
              <w:left w:w="100" w:type="dxa"/>
              <w:bottom w:w="60" w:type="dxa"/>
              <w:right w:w="100" w:type="dxa"/>
            </w:tcMar>
          </w:tcPr>
          <w:p w14:paraId="5660697B">
            <w:pPr>
              <w:spacing w:after="0"/>
            </w:pPr>
            <w:r>
              <w:rPr>
                <w:rFonts w:ascii="Segoe UI" w:hAnsi="Segoe UI" w:eastAsia="ＭＳ 明朝" w:cs="Segoe UI" w:eastAsiaTheme="minorEastAsia" w:csTheme="minorBidi"/>
                <w:b/>
                <w:bCs/>
                <w:color w:val="475569"/>
                <w:sz w:val="19"/>
                <w:szCs w:val="22"/>
              </w:rPr>
              <w:t>Platform Version:</w:t>
            </w:r>
          </w:p>
        </w:tc>
        <w:tc>
          <w:tcPr>
            <w:tcW w:w="6192" w:type="dxa"/>
            <w:shd w:val="clear" w:fill="FFFFFF"/>
            <w:tcMar>
              <w:top w:w="60" w:type="dxa"/>
              <w:left w:w="100" w:type="dxa"/>
              <w:bottom w:w="60" w:type="dxa"/>
              <w:right w:w="100" w:type="dxa"/>
            </w:tcMar>
          </w:tcPr>
          <w:p w14:paraId="48E64C48">
            <w:pPr>
              <w:spacing w:after="0"/>
            </w:pPr>
            <w:r>
              <w:rPr>
                <w:rFonts w:ascii="Segoe UI" w:hAnsi="Segoe UI" w:eastAsia="ＭＳ 明朝" w:cs="Segoe UI" w:eastAsiaTheme="minorEastAsia" w:csTheme="minorBidi"/>
                <w:color w:val="0F172A"/>
                <w:sz w:val="19"/>
                <w:szCs w:val="22"/>
              </w:rPr>
              <w:t>Version 2.0 (Production Release — FastAPI + React)</w:t>
            </w:r>
          </w:p>
        </w:tc>
      </w:tr>
      <w:tr>
        <w:tc>
          <w:tcPr>
            <w:tcW w:w="3168" w:type="dxa"/>
            <w:shd w:val="clear" w:fill="F8FAFC"/>
            <w:tcMar>
              <w:top w:w="60" w:type="dxa"/>
              <w:left w:w="100" w:type="dxa"/>
              <w:bottom w:w="60" w:type="dxa"/>
              <w:right w:w="100" w:type="dxa"/>
            </w:tcMar>
          </w:tcPr>
          <w:p w14:paraId="76752016">
            <w:pPr>
              <w:spacing w:after="0"/>
            </w:pPr>
            <w:r>
              <w:rPr>
                <w:rFonts w:ascii="Segoe UI" w:hAnsi="Segoe UI" w:eastAsia="ＭＳ 明朝" w:cs="Segoe UI" w:eastAsiaTheme="minorEastAsia" w:csTheme="minorBidi"/>
                <w:b/>
                <w:bCs/>
                <w:color w:val="475569"/>
                <w:sz w:val="19"/>
                <w:szCs w:val="22"/>
              </w:rPr>
              <w:t>Documentation Scope:</w:t>
            </w:r>
          </w:p>
        </w:tc>
        <w:tc>
          <w:tcPr>
            <w:tcW w:w="6192" w:type="dxa"/>
            <w:shd w:val="clear" w:fill="FFFFFF"/>
            <w:tcMar>
              <w:top w:w="60" w:type="dxa"/>
              <w:left w:w="100" w:type="dxa"/>
              <w:bottom w:w="60" w:type="dxa"/>
              <w:right w:w="100" w:type="dxa"/>
            </w:tcMar>
          </w:tcPr>
          <w:p w14:paraId="21C7D6F5">
            <w:pPr>
              <w:spacing w:after="0"/>
            </w:pPr>
            <w:r>
              <w:rPr>
                <w:rFonts w:ascii="Segoe UI" w:hAnsi="Segoe UI" w:eastAsia="ＭＳ 明朝" w:cs="Segoe UI" w:eastAsiaTheme="minorEastAsia" w:csTheme="minorBidi"/>
                <w:color w:val="0F172A"/>
                <w:sz w:val="19"/>
                <w:szCs w:val="22"/>
              </w:rPr>
              <w:t>Ingestion, Segmentation, Provider Layer, Matching Engine, Triage, and UI</w:t>
            </w:r>
          </w:p>
        </w:tc>
      </w:tr>
    </w:tbl>
    <w:p w14:paraId="106673C5">
      <w:pPr>
        <w:spacing w:after="280"/>
      </w:pPr>
    </w:p>
    <w:p w14:paraId="131C03F8">
      <w:pPr>
        <w:pStyle w:val="Heading1"/>
        <w:spacing w:before="360" w:after="160"/>
      </w:pPr>
      <w:r>
        <w:rPr>
          <w:rFonts w:ascii="Segoe UI" w:hAnsi="Segoe UI" w:eastAsia="ＭＳ ゴシック" w:cs="Segoe UI" w:eastAsiaTheme="majorEastAsia" w:csTheme="majorBidi"/>
          <w:b/>
          <w:bCs/>
          <w:color w:val="1E293B"/>
          <w:sz w:val="28"/>
          <w:szCs w:val="28"/>
        </w:rPr>
        <w:t>1. Executive Summary &amp; Core Objectives</w:t>
      </w:r>
    </w:p>
    <w:p w14:paraId="2BA156F1">
      <w:pPr>
        <w:spacing w:after="160" w:line="288" w:lineRule="auto"/>
      </w:pPr>
      <w:r>
        <w:rPr>
          <w:rFonts w:ascii="Segoe UI" w:hAnsi="Segoe UI" w:eastAsia="ＭＳ 明朝" w:cs="Segoe UI" w:eastAsiaTheme="minorEastAsia" w:csTheme="minorBidi"/>
          <w:color w:val="334155"/>
          <w:sz w:val="22"/>
          <w:szCs w:val="22"/>
        </w:rPr>
        <w:t>In modern scientometrics and research evaluation, the integrity of academic bibliographies is essential for citation analysis, impact factor calculation, and automated knowledge graph construction. However, scholarly reference lists in publications frequently suffer from pervasive data quality issues: phantom or hallucinated DOIs, mismatched identifiers pointing to completely unrelated works, dead URLs, publisher paywall bot-blocking that masquerades as broken links, and severe typographical corruptions introduced during optical character recognition (OCR) or reference list compilation.</w:t>
      </w:r>
    </w:p>
    <w:p w14:paraId="1C9CE0F7">
      <w:pPr>
        <w:spacing w:after="160" w:line="288" w:lineRule="auto"/>
      </w:pPr>
      <w:r>
        <w:rPr>
          <w:rFonts w:ascii="Segoe UI" w:hAnsi="Segoe UI" w:eastAsia="ＭＳ 明朝" w:cs="Segoe UI" w:eastAsiaTheme="minorEastAsia" w:csTheme="minorBidi"/>
          <w:color w:val="334155"/>
          <w:sz w:val="22"/>
          <w:szCs w:val="22"/>
        </w:rPr>
        <w:t>The Scholarly Reference Validation System was designed and engineered as a high-throughput, dual-mode validation studio. It supports both corpus-scale batch ingestion (e.g., thousands of citations extracted from institutional Scopus exports) and on-demand live auditing of individual manuscripts via Scopus URLs/EIDs or custom spreadsheets (.xlsx / .csv). Unlike conventional link-checking tools that only check if a URL responds with HTTP 200 OK, this system executes multi-attribute scientometric verification—corroborating title similarity, author overlap, publication year, and venue consistency against authoritative registries.</w:t>
      </w:r>
    </w:p>
    <w:tbl>
      <w:tblPr>
        <w:tblW w:w="0" w:type="auto"/>
        <w:jc w:val="center"/>
        <w:tblBorders>
          <w:top w:val="none"/>
          <w:left w:val="single" w:sz="36" w:space="0" w:color="4F46E5"/>
          <w:bottom w:val="none"/>
          <w:right w:val="none"/>
          <w:insideH w:val="none"/>
          <w:insideV w:val="none"/>
        </w:tblBorders>
        <w:tblCellMar>
          <w:top w:w="0" w:type="dxa"/>
          <w:left w:w="108" w:type="dxa"/>
          <w:bottom w:w="0" w:type="dxa"/>
          <w:right w:w="108" w:type="dxa"/>
        </w:tblCellMar>
        <w:tblLook w:firstRow="1" w:firstColumn="1" w:noVBand="1"/>
      </w:tblPr>
      <w:tblGrid>
        <w:gridCol w:w="9360"/>
      </w:tblGrid>
      <w:tr>
        <w:tc>
          <w:tcPr>
            <w:tcW w:w="9360" w:type="dxa"/>
            <w:tcBorders>
              <w:top w:val="none"/>
              <w:left w:val="single" w:sz="36" w:space="0" w:color="4F46E5"/>
              <w:bottom w:val="none"/>
              <w:right w:val="none"/>
            </w:tcBorders>
            <w:shd w:val="clear" w:fill="F1F5F9"/>
            <w:tcMar>
              <w:top w:w="140" w:type="dxa"/>
              <w:left w:w="200" w:type="dxa"/>
              <w:bottom w:w="140" w:type="dxa"/>
              <w:right w:w="200" w:type="dxa"/>
            </w:tcMar>
          </w:tcPr>
          <w:p w14:paraId="1408793A">
            <w:pPr>
              <w:spacing w:before="40" w:after="40" w:line="276" w:lineRule="auto"/>
            </w:pPr>
            <w:r>
              <w:rPr>
                <w:rFonts w:ascii="Segoe UI" w:hAnsi="Segoe UI" w:eastAsia="ＭＳ 明朝" w:cs="Segoe UI" w:eastAsiaTheme="minorEastAsia" w:csTheme="minorBidi"/>
                <w:b/>
                <w:bCs/>
                <w:color w:val="4F46E5"/>
                <w:sz w:val="20"/>
                <w:szCs w:val="22"/>
              </w:rPr>
              <w:t xml:space="preserve">[CORE SCIENTOMETRIC PRINCIPLE] </w:t>
            </w:r>
            <w:r>
              <w:rPr>
                <w:rFonts w:ascii="Segoe UI" w:hAnsi="Segoe UI" w:eastAsia="ＭＳ 明朝" w:cs="Segoe UI" w:eastAsiaTheme="minorEastAsia" w:csTheme="minorBidi"/>
                <w:color w:val="1E293B"/>
                <w:sz w:val="20"/>
                <w:szCs w:val="22"/>
              </w:rPr>
              <w:t>A DOI resolving with HTTP 200 OK does NOT mean the citation is correct. If an author cites a 2019 healthcare paper but mistakenly copies a DOI belonging to a 2020 financial economics article, naive link-checkers mark it 'Valid'. Our system detects this discrepancy, categorizes it as VALID_DOI_WRONG_REFERENCE, and flags it for human review.</w:t>
            </w:r>
          </w:p>
        </w:tc>
      </w:tr>
    </w:tbl>
    <w:p w14:paraId="18D4C73C">
      <w:pPr>
        <w:spacing w:after="200" w:line="276" w:lineRule="auto"/>
      </w:pPr>
    </w:p>
    <w:p w14:paraId="37961F5A">
      <w:pPr>
        <w:pStyle w:val="Heading1"/>
        <w:spacing w:before="400" w:after="160"/>
      </w:pPr>
      <w:r>
        <w:rPr>
          <w:rFonts w:ascii="Segoe UI" w:hAnsi="Segoe UI" w:eastAsia="ＭＳ ゴシック" w:cs="Segoe UI" w:eastAsiaTheme="majorEastAsia" w:csTheme="majorBidi"/>
          <w:b/>
          <w:bCs/>
          <w:color w:val="1E293B"/>
          <w:sz w:val="28"/>
          <w:szCs w:val="28"/>
        </w:rPr>
        <w:t>2. End-to-End System Workflow Diagram</w:t>
      </w:r>
    </w:p>
    <w:p w14:paraId="432F2BB8">
      <w:pPr>
        <w:spacing w:after="240" w:line="288" w:lineRule="auto"/>
      </w:pPr>
      <w:r>
        <w:rPr>
          <w:rFonts w:ascii="Segoe UI" w:hAnsi="Segoe UI" w:eastAsia="ＭＳ 明朝" w:cs="Segoe UI" w:eastAsiaTheme="minorEastAsia" w:csTheme="minorBidi"/>
          <w:color w:val="334155"/>
          <w:sz w:val="22"/>
          <w:szCs w:val="22"/>
        </w:rPr>
        <w:t>The following high-resolution workflow diagram presents the complete technical flow of data through all six architectural tiers: from dual-channel input ingestion and grammar-based citation segmentation to multi-provider ground truth resolution, multi-attribute scientometric matching, multi-class decision classification, and interactive visualization.</w:t>
      </w:r>
    </w:p>
    <w:p w14:paraId="0DC3DFE2">
      <w:pPr>
        <w:spacing w:before="160" w:after="120"/>
        <w:jc w:val="center"/>
      </w:pPr>
      <w:r>
        <w:drawing>
          <wp:inline distT="0" distB="0" distL="0" distR="0">
            <wp:extent cx="5943600" cy="811530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1"/>
                    <a:stretch>
                      <a:fillRect/>
                    </a:stretch>
                  </pic:blipFill>
                  <pic:spPr>
                    <a:xfrm>
                      <a:off x="0" y="0"/>
                      <a:ext cx="5943600" cy="8115300"/>
                    </a:xfrm>
                    <a:prstGeom prst="rect">
                      <a:avLst/>
                    </a:prstGeom>
                  </pic:spPr>
                </pic:pic>
              </a:graphicData>
            </a:graphic>
          </wp:inline>
        </w:drawing>
      </w:r>
    </w:p>
    <w:p w14:paraId="3094382B">
      <w:pPr>
        <w:spacing w:after="320"/>
        <w:jc w:val="center"/>
      </w:pPr>
      <w:r>
        <w:rPr>
          <w:rFonts w:ascii="Segoe UI" w:hAnsi="Segoe UI" w:eastAsia="ＭＳ 明朝" w:cs="Segoe UI" w:eastAsiaTheme="minorEastAsia" w:csTheme="minorBidi"/>
          <w:i/>
          <w:iCs/>
          <w:color w:val="64748B"/>
          <w:sz w:val="19"/>
          <w:szCs w:val="22"/>
        </w:rPr>
        <w:t>Figure 1: Comprehensive System Architecture and Multi-Stage Processing Workflow.</w:t>
      </w:r>
    </w:p>
    <w:p w14:paraId="583FBF6C">
      <w:pPr>
        <w:pStyle w:val="Heading1"/>
        <w:spacing w:before="360" w:after="160"/>
      </w:pPr>
      <w:r>
        <w:rPr>
          <w:rFonts w:ascii="Segoe UI" w:hAnsi="Segoe UI" w:eastAsia="ＭＳ ゴシック" w:cs="Segoe UI" w:eastAsiaTheme="majorEastAsia" w:csTheme="majorBidi"/>
          <w:b/>
          <w:bCs/>
          <w:color w:val="1E293B"/>
          <w:sz w:val="28"/>
          <w:szCs w:val="28"/>
        </w:rPr>
        <w:t>3. Detailed Pipeline Stages &amp; Technical Methodology</w:t>
      </w:r>
    </w:p>
    <w:p w14:paraId="1CC9D38A">
      <w:pPr>
        <w:pStyle w:val="Heading2"/>
        <w:spacing w:before="240" w:after="80"/>
      </w:pPr>
      <w:r>
        <w:rPr>
          <w:rFonts w:ascii="Segoe UI" w:hAnsi="Segoe UI" w:eastAsia="ＭＳ ゴシック" w:cs="Segoe UI" w:eastAsiaTheme="majorEastAsia" w:csTheme="majorBidi"/>
          <w:b/>
          <w:bCs/>
          <w:color w:val="4F46E5"/>
          <w:sz w:val="26"/>
          <w:szCs w:val="26"/>
        </w:rPr>
        <w:t>Stage 1: Multi-Modal Input &amp; Ingestion Layer</w:t>
      </w:r>
    </w:p>
    <w:p w14:paraId="053B7A71">
      <w:pPr>
        <w:spacing w:after="160" w:line="288" w:lineRule="auto"/>
      </w:pPr>
      <w:r>
        <w:rPr>
          <w:rFonts w:ascii="Segoe UI" w:hAnsi="Segoe UI" w:eastAsia="ＭＳ 明朝" w:cs="Segoe UI" w:eastAsiaTheme="minorEastAsia" w:csTheme="minorBidi"/>
          <w:color w:val="334155"/>
          <w:sz w:val="22"/>
          <w:szCs w:val="22"/>
        </w:rPr>
        <w:t>The system accommodates two complementary ingestion workflows:</w:t>
      </w:r>
      <w:r>
        <w:br w:type="textWrapping"/>
      </w:r>
      <w:r>
        <w:rPr>
          <w:rFonts w:ascii="Segoe UI" w:hAnsi="Segoe UI" w:eastAsia="ＭＳ 明朝" w:cs="Segoe UI" w:eastAsiaTheme="minorEastAsia" w:csTheme="minorBidi"/>
          <w:color w:val="334155"/>
          <w:sz w:val="22"/>
          <w:szCs w:val="22"/>
        </w:rPr>
        <w:t>1. Bulk Corpus Ingestion: Ingests institutional Scopus CSV export dumps containing hundreds of citing manuscripts (864 documents) and over 17,252 bibliographic citations. Metadata fields include EID, authors, paper title, year, publication venue, and raw reference strings.</w:t>
      </w:r>
      <w:r>
        <w:br w:type="textWrapping"/>
      </w:r>
      <w:r>
        <w:rPr>
          <w:rFonts w:ascii="Segoe UI" w:hAnsi="Segoe UI" w:eastAsia="ＭＳ 明朝" w:cs="Segoe UI" w:eastAsiaTheme="minorEastAsia" w:csTheme="minorBidi"/>
          <w:color w:val="334155"/>
          <w:sz w:val="22"/>
          <w:szCs w:val="22"/>
        </w:rPr>
        <w:t>2. On-Demand Live Audit Studio: Allows researchers to provide an individual Scopus publication link (e.g., https://www.scopus.com/pages/publications/85116424104), an 11-digit Scopus EID, or upload an ad-hoc spreadsheet (.xlsx / .csv). The system retrieves the publication's live metadata, extracts citations on-the-fly, and completes full verification within seconds.</w:t>
      </w:r>
    </w:p>
    <w:p w14:paraId="5D6524E9">
      <w:pPr>
        <w:pStyle w:val="Heading2"/>
        <w:spacing w:before="240" w:after="80"/>
      </w:pPr>
      <w:r>
        <w:rPr>
          <w:rFonts w:ascii="Segoe UI" w:hAnsi="Segoe UI" w:eastAsia="ＭＳ ゴシック" w:cs="Segoe UI" w:eastAsiaTheme="majorEastAsia" w:csTheme="majorBidi"/>
          <w:b/>
          <w:bCs/>
          <w:color w:val="4F46E5"/>
          <w:sz w:val="26"/>
          <w:szCs w:val="26"/>
        </w:rPr>
        <w:t>Stage 2: Heuristic Reference Segmentation &amp; Delimiter Disambiguation</w:t>
      </w:r>
    </w:p>
    <w:p w14:paraId="5310C485">
      <w:pPr>
        <w:spacing w:after="160" w:line="288" w:lineRule="auto"/>
      </w:pPr>
      <w:r>
        <w:rPr>
          <w:rFonts w:ascii="Segoe UI" w:hAnsi="Segoe UI" w:eastAsia="ＭＳ 明朝" w:cs="Segoe UI" w:eastAsiaTheme="minorEastAsia" w:csTheme="minorBidi"/>
          <w:color w:val="334155"/>
          <w:sz w:val="22"/>
          <w:szCs w:val="22"/>
        </w:rPr>
        <w:t>A major challenge in scholarly reference extraction is punctuation ambiguity. In standard academic bibliographies, semicolons (;) are used both to delimit multiple co-authors within a single citation (e.g., 'Aithal PS; Aithal S.') and to separate adjacent references. A naive string split produces thousands of fragmented author fragments. Our Reference Segmentation Engine (reference_splitter.py) implements heuristic grammar rules that examine publication patterns (e.g., 4-digit years in parentheses, journal volume/page markers) to identify authentic reference boundaries without splitting authors.</w:t>
      </w:r>
    </w:p>
    <w:p w14:paraId="55DBE43D">
      <w:pPr>
        <w:spacing w:after="160" w:line="288" w:lineRule="auto"/>
      </w:pPr>
      <w:r>
        <w:rPr>
          <w:rFonts w:ascii="Segoe UI" w:hAnsi="Segoe UI" w:eastAsia="ＭＳ 明朝" w:cs="Segoe UI" w:eastAsiaTheme="minorEastAsia" w:csTheme="minorBidi"/>
          <w:color w:val="334155"/>
          <w:sz w:val="22"/>
          <w:szCs w:val="22"/>
        </w:rPr>
        <w:t xml:space="preserve">Crucially, the system enforces an immutable audit trail: every citation preserves its raw_reference string alongside its generated reference_id and citing manuscript EID. The Bibliographic Field Parser (citation_parser.py) then tokenizes cited authors, document title, publication venue, publication year, volume, and pagination. Concurrently, the DOI Extractor (doi_extractor.py) extracts, cleans, unescapes, and normalizes DOIs into canonical lowercase format (e.g., 10.xxxx/...). </w:t>
      </w:r>
    </w:p>
    <w:p w14:paraId="51F9AEA0">
      <w:pPr>
        <w:pStyle w:val="Heading2"/>
        <w:spacing w:before="240" w:after="80"/>
      </w:pPr>
      <w:r>
        <w:rPr>
          <w:rFonts w:ascii="Segoe UI" w:hAnsi="Segoe UI" w:eastAsia="ＭＳ ゴシック" w:cs="Segoe UI" w:eastAsiaTheme="majorEastAsia" w:csTheme="majorBidi"/>
          <w:b/>
          <w:bCs/>
          <w:color w:val="4F46E5"/>
          <w:sz w:val="26"/>
          <w:szCs w:val="26"/>
        </w:rPr>
        <w:t>Stage 3: Multi-Provider Ground Truth &amp; API Resolution</w:t>
      </w:r>
    </w:p>
    <w:p w14:paraId="7147305C">
      <w:pPr>
        <w:spacing w:after="160" w:line="288" w:lineRule="auto"/>
      </w:pPr>
      <w:r>
        <w:rPr>
          <w:rFonts w:ascii="Segoe UI" w:hAnsi="Segoe UI" w:eastAsia="ＭＳ 明朝" w:cs="Segoe UI" w:eastAsiaTheme="minorEastAsia" w:csTheme="minorBidi"/>
          <w:color w:val="334155"/>
          <w:sz w:val="22"/>
          <w:szCs w:val="22"/>
        </w:rPr>
        <w:t>To validate citations against primary sources, the system integrates four independent external providers:</w:t>
      </w:r>
      <w:r>
        <w:br w:type="textWrapping"/>
      </w:r>
      <w:r>
        <w:rPr>
          <w:rFonts w:ascii="Segoe UI" w:hAnsi="Segoe UI" w:eastAsia="ＭＳ 明朝" w:cs="Segoe UI" w:eastAsiaTheme="minorEastAsia" w:csTheme="minorBidi"/>
          <w:color w:val="334155"/>
          <w:sz w:val="22"/>
          <w:szCs w:val="22"/>
        </w:rPr>
        <w:t>• Elsevier Scopus Abstract Retrieval API: Retrieves authoritative publication records. To bypass Elsevier's strict 40-item pagination limit on standard reference views (which previously caused 99-reference papers to show only 40), the client queries view=FULL to parse the entire bibliography from the authoritative item.bibrecord structure in a single payload.</w:t>
      </w:r>
      <w:r>
        <w:br w:type="textWrapping"/>
      </w:r>
      <w:r>
        <w:rPr>
          <w:rFonts w:ascii="Segoe UI" w:hAnsi="Segoe UI" w:eastAsia="ＭＳ 明朝" w:cs="Segoe UI" w:eastAsiaTheme="minorEastAsia" w:csTheme="minorBidi"/>
          <w:color w:val="334155"/>
          <w:sz w:val="22"/>
          <w:szCs w:val="22"/>
        </w:rPr>
        <w:t>• Crossref REST API: Queries the official registration agency for DOI metadata, verifying publisher registration records, work titles, and landing URLs.</w:t>
      </w:r>
      <w:r>
        <w:br w:type="textWrapping"/>
      </w:r>
      <w:r>
        <w:rPr>
          <w:rFonts w:ascii="Segoe UI" w:hAnsi="Segoe UI" w:eastAsia="ＭＳ 明朝" w:cs="Segoe UI" w:eastAsiaTheme="minorEastAsia" w:csTheme="minorBidi"/>
          <w:color w:val="334155"/>
          <w:sz w:val="22"/>
          <w:szCs w:val="22"/>
        </w:rPr>
        <w:t>• OpenAlex Scholarly Graph: Provides secondary verification for open-access status, retraction warnings, and disambiguated institutional work entities.</w:t>
      </w:r>
      <w:r>
        <w:br w:type="textWrapping"/>
      </w:r>
      <w:r>
        <w:rPr>
          <w:rFonts w:ascii="Segoe UI" w:hAnsi="Segoe UI" w:eastAsia="ＭＳ 明朝" w:cs="Segoe UI" w:eastAsiaTheme="minorEastAsia" w:csTheme="minorBidi"/>
          <w:color w:val="334155"/>
          <w:sz w:val="22"/>
          <w:szCs w:val="22"/>
        </w:rPr>
        <w:t>• Direct DOI Resolver Proxy: Performs HTTP HEAD/GET probes against https://doi.org to evaluate real-time redirect chains and landing page accessibility.</w:t>
      </w:r>
    </w:p>
    <w:p w14:paraId="6C2F01A9">
      <w:pPr>
        <w:spacing w:after="160" w:line="288" w:lineRule="auto"/>
      </w:pPr>
      <w:r>
        <w:rPr>
          <w:rFonts w:ascii="Segoe UI" w:hAnsi="Segoe UI" w:eastAsia="ＭＳ 明朝" w:cs="Segoe UI" w:eastAsiaTheme="minorEastAsia" w:csTheme="minorBidi"/>
          <w:color w:val="334155"/>
          <w:sz w:val="22"/>
          <w:szCs w:val="22"/>
        </w:rPr>
        <w:t>All network interactions are governed by a token-bucket rate limiter (10 req/s for Crossref, 5 req/s for Scopus) and backed by a two-tier persistent SQLite and disk cache manager (cache_manager.py). Cached queries execute in under 1 millisecond, preventing API exhaustion.</w:t>
      </w:r>
    </w:p>
    <w:p w14:paraId="481E2895">
      <w:pPr>
        <w:pStyle w:val="Heading2"/>
        <w:spacing w:before="240" w:after="80"/>
      </w:pPr>
      <w:r>
        <w:rPr>
          <w:rFonts w:ascii="Segoe UI" w:hAnsi="Segoe UI" w:eastAsia="ＭＳ ゴシック" w:cs="Segoe UI" w:eastAsiaTheme="majorEastAsia" w:csTheme="majorBidi"/>
          <w:b/>
          <w:bCs/>
          <w:color w:val="4F46E5"/>
          <w:sz w:val="26"/>
          <w:szCs w:val="26"/>
        </w:rPr>
        <w:t>Stage 4: Scientometric Similarity &amp; Diagnostic Matching Engine</w:t>
      </w:r>
    </w:p>
    <w:p w14:paraId="36AEB32B">
      <w:pPr>
        <w:spacing w:after="160" w:line="288" w:lineRule="auto"/>
      </w:pPr>
      <w:r>
        <w:rPr>
          <w:rFonts w:ascii="Segoe UI" w:hAnsi="Segoe UI" w:eastAsia="ＭＳ 明朝" w:cs="Segoe UI" w:eastAsiaTheme="minorEastAsia" w:csTheme="minorBidi"/>
          <w:color w:val="334155"/>
          <w:sz w:val="22"/>
          <w:szCs w:val="22"/>
        </w:rPr>
        <w:t>Rather than relying on binary equality, the matching engine computes multi-dimensional similarity metrics:</w:t>
      </w:r>
      <w:r>
        <w:br w:type="textWrapping"/>
      </w:r>
      <w:r>
        <w:rPr>
          <w:rFonts w:ascii="Segoe UI" w:hAnsi="Segoe UI" w:eastAsia="ＭＳ 明朝" w:cs="Segoe UI" w:eastAsiaTheme="minorEastAsia" w:csTheme="minorBidi"/>
          <w:color w:val="334155"/>
          <w:sz w:val="22"/>
          <w:szCs w:val="22"/>
        </w:rPr>
        <w:t>• Title Similarity: Combines token sort ratio and normalized Levenshtein distance. Crucially, Elsevier API bibrecords omit ref-title for non-journal publications (e.g. McKinsey reports, Accenture whitepapers, Bank of Italy monographs), returning an empty dictionary {}. Our engine falls back to ref-sourcetitle, restoring accurate title similarity (from 0% to 100%).</w:t>
      </w:r>
      <w:r>
        <w:br w:type="textWrapping"/>
      </w:r>
      <w:r>
        <w:rPr>
          <w:rFonts w:ascii="Segoe UI" w:hAnsi="Segoe UI" w:eastAsia="ＭＳ 明朝" w:cs="Segoe UI" w:eastAsiaTheme="minorEastAsia" w:csTheme="minorBidi"/>
          <w:color w:val="334155"/>
          <w:sz w:val="22"/>
          <w:szCs w:val="22"/>
        </w:rPr>
        <w:t>• Author Similarity: Tokenizes surnames, normalizes initials, and computes Jaro-Winkler string similarity across co-author sets.</w:t>
      </w:r>
      <w:r>
        <w:br w:type="textWrapping"/>
      </w:r>
      <w:r>
        <w:rPr>
          <w:rFonts w:ascii="Segoe UI" w:hAnsi="Segoe UI" w:eastAsia="ＭＳ 明朝" w:cs="Segoe UI" w:eastAsiaTheme="minorEastAsia" w:csTheme="minorBidi"/>
          <w:color w:val="334155"/>
          <w:sz w:val="22"/>
          <w:szCs w:val="22"/>
        </w:rPr>
        <w:t>• Temporal &amp; Venue Consistency: Checks whether publication years match (|ΔYear| ≤ 1) and matches journal abbreviations against full source titles.</w:t>
      </w:r>
      <w:r>
        <w:br w:type="textWrapping"/>
      </w:r>
      <w:r>
        <w:rPr>
          <w:rFonts w:ascii="Segoe UI" w:hAnsi="Segoe UI" w:eastAsia="ＭＳ 明朝" w:cs="Segoe UI" w:eastAsiaTheme="minorEastAsia" w:csTheme="minorBidi"/>
          <w:color w:val="334155"/>
          <w:sz w:val="22"/>
          <w:szCs w:val="22"/>
        </w:rPr>
        <w:t>• Automated DOI Recovery: For references cited without a DOI, the engine performs a targeted title search on Crossref, successfully recovering missing registered DOIs with high confidence.</w:t>
      </w:r>
    </w:p>
    <w:p w14:paraId="59C4B211">
      <w:pPr>
        <w:spacing w:before="120" w:after="200"/>
        <w:jc w:val="center"/>
      </w:pPr>
      <w:r>
        <w:rPr>
          <w:rFonts w:ascii="Consolas" w:hAnsi="Consolas" w:eastAsia="ＭＳ 明朝" w:cs="Consolas" w:eastAsiaTheme="minorEastAsia" w:csTheme="minorBidi"/>
          <w:b/>
          <w:bCs/>
          <w:color w:val="4F46E5"/>
          <w:sz w:val="22"/>
          <w:szCs w:val="22"/>
        </w:rPr>
        <w:t>Composite Score = 0.50 × Title_Sim + 0.30 × Author_Sim + 0.10 × Year_Match + 0.10 × Venue_Sim</w:t>
      </w:r>
    </w:p>
    <w:p w14:paraId="1CD2C1EB">
      <w:pPr>
        <w:pStyle w:val="Heading2"/>
        <w:spacing w:before="240" w:after="80"/>
      </w:pPr>
      <w:r>
        <w:rPr>
          <w:rFonts w:ascii="Segoe UI" w:hAnsi="Segoe UI" w:eastAsia="ＭＳ ゴシック" w:cs="Segoe UI" w:eastAsiaTheme="majorEastAsia" w:csTheme="majorBidi"/>
          <w:b/>
          <w:bCs/>
          <w:color w:val="4F46E5"/>
          <w:sz w:val="26"/>
          <w:szCs w:val="26"/>
        </w:rPr>
        <w:t>Stage 5: Multi-Class Decision Matrix &amp; Classification Taxonomy</w:t>
      </w:r>
    </w:p>
    <w:p w14:paraId="09A821C5">
      <w:pPr>
        <w:spacing w:after="200" w:line="288" w:lineRule="auto"/>
      </w:pPr>
      <w:r>
        <w:rPr>
          <w:rFonts w:ascii="Segoe UI" w:hAnsi="Segoe UI" w:eastAsia="ＭＳ 明朝" w:cs="Segoe UI" w:eastAsiaTheme="minorEastAsia" w:csTheme="minorBidi"/>
          <w:color w:val="334155"/>
          <w:sz w:val="22"/>
          <w:szCs w:val="22"/>
        </w:rPr>
        <w:t>Every reference is evaluated against a deterministic decision matrix that assigns one of seven primary classifications, determining whether the citation is auto-approved or routed to the human review triage queue:</w:t>
      </w:r>
    </w:p>
    <w:tbl>
      <w:tblPr>
        <w:tblW w:w="0" w:type="auto"/>
        <w:jc w:val="center"/>
        <w:tblCellMar>
          <w:top w:w="0" w:type="dxa"/>
          <w:left w:w="108" w:type="dxa"/>
          <w:bottom w:w="0" w:type="dxa"/>
          <w:right w:w="108" w:type="dxa"/>
        </w:tblCellMar>
        <w:tblLook w:firstRow="1" w:firstColumn="1" w:noVBand="1"/>
      </w:tblPr>
      <w:tblGrid>
        <w:gridCol w:w="2340"/>
        <w:gridCol w:w="2340"/>
        <w:gridCol w:w="2340"/>
        <w:gridCol w:w="2340"/>
      </w:tblGrid>
      <w:tr>
        <w:tc>
          <w:tcPr>
            <w:tcW w:w="2340" w:type="dxa"/>
            <w:shd w:val="clear" w:fill="1E293B"/>
            <w:tcMar>
              <w:top w:w="100" w:type="dxa"/>
              <w:left w:w="120" w:type="dxa"/>
              <w:bottom w:w="100" w:type="dxa"/>
              <w:right w:w="120" w:type="dxa"/>
            </w:tcMar>
          </w:tcPr>
          <w:p w14:paraId="6BB62FFB">
            <w:pPr>
              <w:spacing w:after="0"/>
            </w:pPr>
            <w:r>
              <w:rPr>
                <w:rFonts w:ascii="Segoe UI" w:hAnsi="Segoe UI" w:eastAsia="ＭＳ 明朝" w:cs="Segoe UI" w:eastAsiaTheme="minorEastAsia" w:csTheme="minorBidi"/>
                <w:b/>
                <w:bCs/>
                <w:color w:val="FFFFFF"/>
                <w:sz w:val="19"/>
                <w:szCs w:val="22"/>
              </w:rPr>
              <w:t>Final Status Classification</w:t>
            </w:r>
          </w:p>
        </w:tc>
        <w:tc>
          <w:tcPr>
            <w:tcW w:w="2340" w:type="dxa"/>
            <w:shd w:val="clear" w:fill="1E293B"/>
            <w:tcMar>
              <w:top w:w="100" w:type="dxa"/>
              <w:left w:w="120" w:type="dxa"/>
              <w:bottom w:w="100" w:type="dxa"/>
              <w:right w:w="120" w:type="dxa"/>
            </w:tcMar>
          </w:tcPr>
          <w:p w14:paraId="706E8DB2">
            <w:pPr>
              <w:spacing w:after="0"/>
            </w:pPr>
            <w:r>
              <w:rPr>
                <w:rFonts w:ascii="Segoe UI" w:hAnsi="Segoe UI" w:eastAsia="ＭＳ 明朝" w:cs="Segoe UI" w:eastAsiaTheme="minorEastAsia" w:csTheme="minorBidi"/>
                <w:b/>
                <w:bCs/>
                <w:color w:val="FFFFFF"/>
                <w:sz w:val="19"/>
                <w:szCs w:val="22"/>
              </w:rPr>
              <w:t>Bibliographic Criteria</w:t>
            </w:r>
          </w:p>
        </w:tc>
        <w:tc>
          <w:tcPr>
            <w:tcW w:w="2340" w:type="dxa"/>
            <w:shd w:val="clear" w:fill="1E293B"/>
            <w:tcMar>
              <w:top w:w="100" w:type="dxa"/>
              <w:left w:w="120" w:type="dxa"/>
              <w:bottom w:w="100" w:type="dxa"/>
              <w:right w:w="120" w:type="dxa"/>
            </w:tcMar>
          </w:tcPr>
          <w:p w14:paraId="35604A5E">
            <w:pPr>
              <w:spacing w:after="0"/>
            </w:pPr>
            <w:r>
              <w:rPr>
                <w:rFonts w:ascii="Segoe UI" w:hAnsi="Segoe UI" w:eastAsia="ＭＳ 明朝" w:cs="Segoe UI" w:eastAsiaTheme="minorEastAsia" w:csTheme="minorBidi"/>
                <w:b/>
                <w:bCs/>
                <w:color w:val="FFFFFF"/>
                <w:sz w:val="19"/>
                <w:szCs w:val="22"/>
              </w:rPr>
              <w:t>System Action</w:t>
            </w:r>
          </w:p>
        </w:tc>
        <w:tc>
          <w:tcPr>
            <w:tcW w:w="2340" w:type="dxa"/>
            <w:shd w:val="clear" w:fill="1E293B"/>
            <w:tcMar>
              <w:top w:w="100" w:type="dxa"/>
              <w:left w:w="120" w:type="dxa"/>
              <w:bottom w:w="100" w:type="dxa"/>
              <w:right w:w="120" w:type="dxa"/>
            </w:tcMar>
          </w:tcPr>
          <w:p w14:paraId="0826B666">
            <w:pPr>
              <w:spacing w:after="0"/>
            </w:pPr>
            <w:r>
              <w:rPr>
                <w:rFonts w:ascii="Segoe UI" w:hAnsi="Segoe UI" w:eastAsia="ＭＳ 明朝" w:cs="Segoe UI" w:eastAsiaTheme="minorEastAsia" w:csTheme="minorBidi"/>
                <w:b/>
                <w:bCs/>
                <w:color w:val="FFFFFF"/>
                <w:sz w:val="19"/>
                <w:szCs w:val="22"/>
              </w:rPr>
              <w:t>Quality Assurance Category</w:t>
            </w:r>
          </w:p>
        </w:tc>
      </w:tr>
      <w:tr>
        <w:tc>
          <w:tcPr>
            <w:tcW w:w="2592" w:type="dxa"/>
            <w:shd w:val="clear" w:fill="F8FAFC"/>
            <w:tcMar>
              <w:top w:w="80" w:type="dxa"/>
              <w:left w:w="100" w:type="dxa"/>
              <w:bottom w:w="80" w:type="dxa"/>
              <w:right w:w="100" w:type="dxa"/>
            </w:tcMar>
          </w:tcPr>
          <w:p w14:paraId="2A955930">
            <w:pPr>
              <w:spacing w:after="0"/>
            </w:pPr>
            <w:r>
              <w:rPr>
                <w:rFonts w:ascii="Consolas" w:hAnsi="Consolas" w:eastAsia="ＭＳ 明朝" w:cs="Consolas" w:eastAsiaTheme="minorEastAsia" w:csTheme="minorBidi"/>
                <w:b/>
                <w:bCs/>
                <w:color w:val="059669"/>
                <w:sz w:val="17"/>
                <w:szCs w:val="22"/>
              </w:rPr>
              <w:t>VALID_CORRECT</w:t>
            </w:r>
          </w:p>
        </w:tc>
        <w:tc>
          <w:tcPr>
            <w:tcW w:w="3600" w:type="dxa"/>
            <w:shd w:val="clear" w:fill="F8FAFC"/>
            <w:tcMar>
              <w:top w:w="80" w:type="dxa"/>
              <w:left w:w="100" w:type="dxa"/>
              <w:bottom w:w="80" w:type="dxa"/>
              <w:right w:w="100" w:type="dxa"/>
            </w:tcMar>
          </w:tcPr>
          <w:p w14:paraId="009C6AC3">
            <w:pPr>
              <w:spacing w:after="0"/>
            </w:pPr>
            <w:r>
              <w:rPr>
                <w:rFonts w:ascii="Segoe UI" w:hAnsi="Segoe UI" w:eastAsia="ＭＳ 明朝" w:cs="Segoe UI" w:eastAsiaTheme="minorEastAsia" w:csTheme="minorBidi"/>
                <w:color w:val="334155"/>
                <w:sz w:val="18"/>
                <w:szCs w:val="22"/>
              </w:rPr>
              <w:t>DOI resolves (200 OK), Title Sim ≥ 70%, and Composite Score ≥ 65%.</w:t>
            </w:r>
          </w:p>
        </w:tc>
        <w:tc>
          <w:tcPr>
            <w:tcW w:w="1584" w:type="dxa"/>
            <w:shd w:val="clear" w:fill="F8FAFC"/>
            <w:tcMar>
              <w:top w:w="80" w:type="dxa"/>
              <w:left w:w="100" w:type="dxa"/>
              <w:bottom w:w="80" w:type="dxa"/>
              <w:right w:w="100" w:type="dxa"/>
            </w:tcMar>
          </w:tcPr>
          <w:p w14:paraId="1367BE7B">
            <w:pPr>
              <w:spacing w:after="0"/>
            </w:pPr>
            <w:r>
              <w:rPr>
                <w:rFonts w:ascii="Segoe UI" w:hAnsi="Segoe UI" w:eastAsia="ＭＳ 明朝" w:cs="Segoe UI" w:eastAsiaTheme="minorEastAsia" w:csTheme="minorBidi"/>
                <w:color w:val="334155"/>
                <w:sz w:val="18"/>
                <w:szCs w:val="22"/>
              </w:rPr>
              <w:t>Auto-Approved</w:t>
            </w:r>
          </w:p>
        </w:tc>
        <w:tc>
          <w:tcPr>
            <w:tcW w:w="1872" w:type="dxa"/>
            <w:shd w:val="clear" w:fill="F8FAFC"/>
            <w:tcMar>
              <w:top w:w="80" w:type="dxa"/>
              <w:left w:w="100" w:type="dxa"/>
              <w:bottom w:w="80" w:type="dxa"/>
              <w:right w:w="100" w:type="dxa"/>
            </w:tcMar>
          </w:tcPr>
          <w:p w14:paraId="6CCA71BB">
            <w:pPr>
              <w:spacing w:after="0"/>
            </w:pPr>
            <w:r>
              <w:rPr>
                <w:rFonts w:ascii="Segoe UI" w:hAnsi="Segoe UI" w:eastAsia="ＭＳ 明朝" w:cs="Segoe UI" w:eastAsiaTheme="minorEastAsia" w:csTheme="minorBidi"/>
                <w:color w:val="334155"/>
                <w:sz w:val="18"/>
                <w:szCs w:val="22"/>
              </w:rPr>
              <w:t>Fully Verified Citation</w:t>
            </w:r>
          </w:p>
        </w:tc>
      </w:tr>
      <w:tr>
        <w:tc>
          <w:tcPr>
            <w:tcW w:w="2592" w:type="dxa"/>
            <w:shd w:val="clear" w:fill="FFFFFF"/>
            <w:tcMar>
              <w:top w:w="80" w:type="dxa"/>
              <w:left w:w="100" w:type="dxa"/>
              <w:bottom w:w="80" w:type="dxa"/>
              <w:right w:w="100" w:type="dxa"/>
            </w:tcMar>
          </w:tcPr>
          <w:p w14:paraId="4064376D">
            <w:pPr>
              <w:spacing w:after="0"/>
            </w:pPr>
            <w:r>
              <w:rPr>
                <w:rFonts w:ascii="Consolas" w:hAnsi="Consolas" w:eastAsia="ＭＳ 明朝" w:cs="Consolas" w:eastAsiaTheme="minorEastAsia" w:csTheme="minorBidi"/>
                <w:b/>
                <w:bCs/>
                <w:color w:val="DC2626"/>
                <w:sz w:val="17"/>
                <w:szCs w:val="22"/>
              </w:rPr>
              <w:t>VALID_DOI_WRONG_REFERENCE</w:t>
            </w:r>
          </w:p>
        </w:tc>
        <w:tc>
          <w:tcPr>
            <w:tcW w:w="3600" w:type="dxa"/>
            <w:shd w:val="clear" w:fill="FFFFFF"/>
            <w:tcMar>
              <w:top w:w="80" w:type="dxa"/>
              <w:left w:w="100" w:type="dxa"/>
              <w:bottom w:w="80" w:type="dxa"/>
              <w:right w:w="100" w:type="dxa"/>
            </w:tcMar>
          </w:tcPr>
          <w:p w14:paraId="39D94331">
            <w:pPr>
              <w:spacing w:after="0"/>
            </w:pPr>
            <w:r>
              <w:rPr>
                <w:rFonts w:ascii="Segoe UI" w:hAnsi="Segoe UI" w:eastAsia="ＭＳ 明朝" w:cs="Segoe UI" w:eastAsiaTheme="minorEastAsia" w:csTheme="minorBidi"/>
                <w:color w:val="334155"/>
                <w:sz w:val="18"/>
                <w:szCs w:val="22"/>
              </w:rPr>
              <w:t>DOI resolves (200 OK), but Title Sim &lt; 35% (points to an unrelated publication).</w:t>
            </w:r>
          </w:p>
        </w:tc>
        <w:tc>
          <w:tcPr>
            <w:tcW w:w="1584" w:type="dxa"/>
            <w:shd w:val="clear" w:fill="FFFFFF"/>
            <w:tcMar>
              <w:top w:w="80" w:type="dxa"/>
              <w:left w:w="100" w:type="dxa"/>
              <w:bottom w:w="80" w:type="dxa"/>
              <w:right w:w="100" w:type="dxa"/>
            </w:tcMar>
          </w:tcPr>
          <w:p w14:paraId="4CF4B070">
            <w:pPr>
              <w:spacing w:after="0"/>
            </w:pPr>
            <w:r>
              <w:rPr>
                <w:rFonts w:ascii="Segoe UI" w:hAnsi="Segoe UI" w:eastAsia="ＭＳ 明朝" w:cs="Segoe UI" w:eastAsiaTheme="minorEastAsia" w:csTheme="minorBidi"/>
                <w:color w:val="334155"/>
                <w:sz w:val="18"/>
                <w:szCs w:val="22"/>
              </w:rPr>
              <w:t>Flagged Review</w:t>
            </w:r>
          </w:p>
        </w:tc>
        <w:tc>
          <w:tcPr>
            <w:tcW w:w="1872" w:type="dxa"/>
            <w:shd w:val="clear" w:fill="FFFFFF"/>
            <w:tcMar>
              <w:top w:w="80" w:type="dxa"/>
              <w:left w:w="100" w:type="dxa"/>
              <w:bottom w:w="80" w:type="dxa"/>
              <w:right w:w="100" w:type="dxa"/>
            </w:tcMar>
          </w:tcPr>
          <w:p w14:paraId="3A3AB46C">
            <w:pPr>
              <w:spacing w:after="0"/>
            </w:pPr>
            <w:r>
              <w:rPr>
                <w:rFonts w:ascii="Segoe UI" w:hAnsi="Segoe UI" w:eastAsia="ＭＳ 明朝" w:cs="Segoe UI" w:eastAsiaTheme="minorEastAsia" w:csTheme="minorBidi"/>
                <w:color w:val="334155"/>
                <w:sz w:val="18"/>
                <w:szCs w:val="22"/>
              </w:rPr>
              <w:t>Hallucinated / Swapped DOI</w:t>
            </w:r>
          </w:p>
        </w:tc>
      </w:tr>
      <w:tr>
        <w:tc>
          <w:tcPr>
            <w:tcW w:w="2592" w:type="dxa"/>
            <w:shd w:val="clear" w:fill="F8FAFC"/>
            <w:tcMar>
              <w:top w:w="80" w:type="dxa"/>
              <w:left w:w="100" w:type="dxa"/>
              <w:bottom w:w="80" w:type="dxa"/>
              <w:right w:w="100" w:type="dxa"/>
            </w:tcMar>
          </w:tcPr>
          <w:p w14:paraId="4AC6BC3C">
            <w:pPr>
              <w:spacing w:after="0"/>
            </w:pPr>
            <w:r>
              <w:rPr>
                <w:rFonts w:ascii="Consolas" w:hAnsi="Consolas" w:eastAsia="ＭＳ 明朝" w:cs="Consolas" w:eastAsiaTheme="minorEastAsia" w:csTheme="minorBidi"/>
                <w:b/>
                <w:bCs/>
                <w:color w:val="059669"/>
                <w:sz w:val="17"/>
                <w:szCs w:val="22"/>
              </w:rPr>
              <w:t>SCOPUS_LINKED_NO_DOI</w:t>
            </w:r>
          </w:p>
        </w:tc>
        <w:tc>
          <w:tcPr>
            <w:tcW w:w="3600" w:type="dxa"/>
            <w:shd w:val="clear" w:fill="F8FAFC"/>
            <w:tcMar>
              <w:top w:w="80" w:type="dxa"/>
              <w:left w:w="100" w:type="dxa"/>
              <w:bottom w:w="80" w:type="dxa"/>
              <w:right w:w="100" w:type="dxa"/>
            </w:tcMar>
          </w:tcPr>
          <w:p w14:paraId="285A0597">
            <w:pPr>
              <w:spacing w:after="0"/>
            </w:pPr>
            <w:r>
              <w:rPr>
                <w:rFonts w:ascii="Segoe UI" w:hAnsi="Segoe UI" w:eastAsia="ＭＳ 明朝" w:cs="Segoe UI" w:eastAsiaTheme="minorEastAsia" w:csTheme="minorBidi"/>
                <w:color w:val="334155"/>
                <w:sz w:val="18"/>
                <w:szCs w:val="22"/>
              </w:rPr>
              <w:t>Reference matched in Scopus ground truth, but published without an assigned DOI.</w:t>
            </w:r>
          </w:p>
        </w:tc>
        <w:tc>
          <w:tcPr>
            <w:tcW w:w="1584" w:type="dxa"/>
            <w:shd w:val="clear" w:fill="F8FAFC"/>
            <w:tcMar>
              <w:top w:w="80" w:type="dxa"/>
              <w:left w:w="100" w:type="dxa"/>
              <w:bottom w:w="80" w:type="dxa"/>
              <w:right w:w="100" w:type="dxa"/>
            </w:tcMar>
          </w:tcPr>
          <w:p w14:paraId="56240B0E">
            <w:pPr>
              <w:spacing w:after="0"/>
            </w:pPr>
            <w:r>
              <w:rPr>
                <w:rFonts w:ascii="Segoe UI" w:hAnsi="Segoe UI" w:eastAsia="ＭＳ 明朝" w:cs="Segoe UI" w:eastAsiaTheme="minorEastAsia" w:csTheme="minorBidi"/>
                <w:color w:val="334155"/>
                <w:sz w:val="18"/>
                <w:szCs w:val="22"/>
              </w:rPr>
              <w:t>Auto-Approved</w:t>
            </w:r>
          </w:p>
        </w:tc>
        <w:tc>
          <w:tcPr>
            <w:tcW w:w="1872" w:type="dxa"/>
            <w:shd w:val="clear" w:fill="F8FAFC"/>
            <w:tcMar>
              <w:top w:w="80" w:type="dxa"/>
              <w:left w:w="100" w:type="dxa"/>
              <w:bottom w:w="80" w:type="dxa"/>
              <w:right w:w="100" w:type="dxa"/>
            </w:tcMar>
          </w:tcPr>
          <w:p w14:paraId="1C8EF3E2">
            <w:pPr>
              <w:spacing w:after="0"/>
            </w:pPr>
            <w:r>
              <w:rPr>
                <w:rFonts w:ascii="Segoe UI" w:hAnsi="Segoe UI" w:eastAsia="ＭＳ 明朝" w:cs="Segoe UI" w:eastAsiaTheme="minorEastAsia" w:csTheme="minorBidi"/>
                <w:color w:val="334155"/>
                <w:sz w:val="18"/>
                <w:szCs w:val="22"/>
              </w:rPr>
              <w:t>Verified Book / Report</w:t>
            </w:r>
          </w:p>
        </w:tc>
      </w:tr>
      <w:tr>
        <w:tc>
          <w:tcPr>
            <w:tcW w:w="2592" w:type="dxa"/>
            <w:shd w:val="clear" w:fill="FFFFFF"/>
            <w:tcMar>
              <w:top w:w="80" w:type="dxa"/>
              <w:left w:w="100" w:type="dxa"/>
              <w:bottom w:w="80" w:type="dxa"/>
              <w:right w:w="100" w:type="dxa"/>
            </w:tcMar>
          </w:tcPr>
          <w:p w14:paraId="00922C83">
            <w:pPr>
              <w:spacing w:after="0"/>
            </w:pPr>
            <w:r>
              <w:rPr>
                <w:rFonts w:ascii="Consolas" w:hAnsi="Consolas" w:eastAsia="ＭＳ 明朝" w:cs="Consolas" w:eastAsiaTheme="minorEastAsia" w:csTheme="minorBidi"/>
                <w:b/>
                <w:bCs/>
                <w:color w:val="059669"/>
                <w:sz w:val="17"/>
                <w:szCs w:val="22"/>
              </w:rPr>
              <w:t>DOI_RECOVERED</w:t>
            </w:r>
          </w:p>
        </w:tc>
        <w:tc>
          <w:tcPr>
            <w:tcW w:w="3600" w:type="dxa"/>
            <w:shd w:val="clear" w:fill="FFFFFF"/>
            <w:tcMar>
              <w:top w:w="80" w:type="dxa"/>
              <w:left w:w="100" w:type="dxa"/>
              <w:bottom w:w="80" w:type="dxa"/>
              <w:right w:w="100" w:type="dxa"/>
            </w:tcMar>
          </w:tcPr>
          <w:p w14:paraId="7B2C81CC">
            <w:pPr>
              <w:spacing w:after="0"/>
            </w:pPr>
            <w:r>
              <w:rPr>
                <w:rFonts w:ascii="Segoe UI" w:hAnsi="Segoe UI" w:eastAsia="ＭＳ 明朝" w:cs="Segoe UI" w:eastAsiaTheme="minorEastAsia" w:csTheme="minorBidi"/>
                <w:color w:val="334155"/>
                <w:sz w:val="18"/>
                <w:szCs w:val="22"/>
              </w:rPr>
              <w:t>No DOI in cited text, but correct DOI identified via Crossref high-confidence title match.</w:t>
            </w:r>
          </w:p>
        </w:tc>
        <w:tc>
          <w:tcPr>
            <w:tcW w:w="1584" w:type="dxa"/>
            <w:shd w:val="clear" w:fill="FFFFFF"/>
            <w:tcMar>
              <w:top w:w="80" w:type="dxa"/>
              <w:left w:w="100" w:type="dxa"/>
              <w:bottom w:w="80" w:type="dxa"/>
              <w:right w:w="100" w:type="dxa"/>
            </w:tcMar>
          </w:tcPr>
          <w:p w14:paraId="3CF71686">
            <w:pPr>
              <w:spacing w:after="0"/>
            </w:pPr>
            <w:r>
              <w:rPr>
                <w:rFonts w:ascii="Segoe UI" w:hAnsi="Segoe UI" w:eastAsia="ＭＳ 明朝" w:cs="Segoe UI" w:eastAsiaTheme="minorEastAsia" w:csTheme="minorBidi"/>
                <w:color w:val="334155"/>
                <w:sz w:val="18"/>
                <w:szCs w:val="22"/>
              </w:rPr>
              <w:t>Auto-Approved</w:t>
            </w:r>
          </w:p>
        </w:tc>
        <w:tc>
          <w:tcPr>
            <w:tcW w:w="1872" w:type="dxa"/>
            <w:shd w:val="clear" w:fill="FFFFFF"/>
            <w:tcMar>
              <w:top w:w="80" w:type="dxa"/>
              <w:left w:w="100" w:type="dxa"/>
              <w:bottom w:w="80" w:type="dxa"/>
              <w:right w:w="100" w:type="dxa"/>
            </w:tcMar>
          </w:tcPr>
          <w:p w14:paraId="76B4B369">
            <w:pPr>
              <w:spacing w:after="0"/>
            </w:pPr>
            <w:r>
              <w:rPr>
                <w:rFonts w:ascii="Segoe UI" w:hAnsi="Segoe UI" w:eastAsia="ＭＳ 明朝" w:cs="Segoe UI" w:eastAsiaTheme="minorEastAsia" w:csTheme="minorBidi"/>
                <w:color w:val="334155"/>
                <w:sz w:val="18"/>
                <w:szCs w:val="22"/>
              </w:rPr>
              <w:t>Recovered Missing Identifier</w:t>
            </w:r>
          </w:p>
        </w:tc>
      </w:tr>
      <w:tr>
        <w:tc>
          <w:tcPr>
            <w:tcW w:w="2592" w:type="dxa"/>
            <w:shd w:val="clear" w:fill="F8FAFC"/>
            <w:tcMar>
              <w:top w:w="80" w:type="dxa"/>
              <w:left w:w="100" w:type="dxa"/>
              <w:bottom w:w="80" w:type="dxa"/>
              <w:right w:w="100" w:type="dxa"/>
            </w:tcMar>
          </w:tcPr>
          <w:p w14:paraId="115B6F2C">
            <w:pPr>
              <w:spacing w:after="0"/>
            </w:pPr>
            <w:r>
              <w:rPr>
                <w:rFonts w:ascii="Consolas" w:hAnsi="Consolas" w:eastAsia="ＭＳ 明朝" w:cs="Consolas" w:eastAsiaTheme="minorEastAsia" w:csTheme="minorBidi"/>
                <w:b/>
                <w:bCs/>
                <w:color w:val="D97706"/>
                <w:sz w:val="17"/>
                <w:szCs w:val="22"/>
              </w:rPr>
              <w:t>ACCESS_RESTRICTED</w:t>
            </w:r>
          </w:p>
        </w:tc>
        <w:tc>
          <w:tcPr>
            <w:tcW w:w="3600" w:type="dxa"/>
            <w:shd w:val="clear" w:fill="F8FAFC"/>
            <w:tcMar>
              <w:top w:w="80" w:type="dxa"/>
              <w:left w:w="100" w:type="dxa"/>
              <w:bottom w:w="80" w:type="dxa"/>
              <w:right w:w="100" w:type="dxa"/>
            </w:tcMar>
          </w:tcPr>
          <w:p w14:paraId="1C13BF02">
            <w:pPr>
              <w:spacing w:after="0"/>
            </w:pPr>
            <w:r>
              <w:rPr>
                <w:rFonts w:ascii="Segoe UI" w:hAnsi="Segoe UI" w:eastAsia="ＭＳ 明朝" w:cs="Segoe UI" w:eastAsiaTheme="minorEastAsia" w:csTheme="minorBidi"/>
                <w:color w:val="334155"/>
                <w:sz w:val="18"/>
                <w:szCs w:val="22"/>
              </w:rPr>
              <w:t>DOI resolves to official publisher domain, but HTTP status is 401/403 (paywall/bot guard).</w:t>
            </w:r>
          </w:p>
        </w:tc>
        <w:tc>
          <w:tcPr>
            <w:tcW w:w="1584" w:type="dxa"/>
            <w:shd w:val="clear" w:fill="F8FAFC"/>
            <w:tcMar>
              <w:top w:w="80" w:type="dxa"/>
              <w:left w:w="100" w:type="dxa"/>
              <w:bottom w:w="80" w:type="dxa"/>
              <w:right w:w="100" w:type="dxa"/>
            </w:tcMar>
          </w:tcPr>
          <w:p w14:paraId="04E167FC">
            <w:pPr>
              <w:spacing w:after="0"/>
            </w:pPr>
            <w:r>
              <w:rPr>
                <w:rFonts w:ascii="Segoe UI" w:hAnsi="Segoe UI" w:eastAsia="ＭＳ 明朝" w:cs="Segoe UI" w:eastAsiaTheme="minorEastAsia" w:csTheme="minorBidi"/>
                <w:color w:val="334155"/>
                <w:sz w:val="18"/>
                <w:szCs w:val="22"/>
              </w:rPr>
              <w:t>Verified Link</w:t>
            </w:r>
          </w:p>
        </w:tc>
        <w:tc>
          <w:tcPr>
            <w:tcW w:w="1872" w:type="dxa"/>
            <w:shd w:val="clear" w:fill="F8FAFC"/>
            <w:tcMar>
              <w:top w:w="80" w:type="dxa"/>
              <w:left w:w="100" w:type="dxa"/>
              <w:bottom w:w="80" w:type="dxa"/>
              <w:right w:w="100" w:type="dxa"/>
            </w:tcMar>
          </w:tcPr>
          <w:p w14:paraId="08A038B9">
            <w:pPr>
              <w:spacing w:after="0"/>
            </w:pPr>
            <w:r>
              <w:rPr>
                <w:rFonts w:ascii="Segoe UI" w:hAnsi="Segoe UI" w:eastAsia="ＭＳ 明朝" w:cs="Segoe UI" w:eastAsiaTheme="minorEastAsia" w:csTheme="minorBidi"/>
                <w:color w:val="334155"/>
                <w:sz w:val="18"/>
                <w:szCs w:val="22"/>
              </w:rPr>
              <w:t>Access-Protected Publication</w:t>
            </w:r>
          </w:p>
        </w:tc>
      </w:tr>
      <w:tr>
        <w:tc>
          <w:tcPr>
            <w:tcW w:w="2592" w:type="dxa"/>
            <w:shd w:val="clear" w:fill="FFFFFF"/>
            <w:tcMar>
              <w:top w:w="80" w:type="dxa"/>
              <w:left w:w="100" w:type="dxa"/>
              <w:bottom w:w="80" w:type="dxa"/>
              <w:right w:w="100" w:type="dxa"/>
            </w:tcMar>
          </w:tcPr>
          <w:p w14:paraId="69B22584">
            <w:pPr>
              <w:spacing w:after="0"/>
            </w:pPr>
            <w:r>
              <w:rPr>
                <w:rFonts w:ascii="Consolas" w:hAnsi="Consolas" w:eastAsia="ＭＳ 明朝" w:cs="Consolas" w:eastAsiaTheme="minorEastAsia" w:csTheme="minorBidi"/>
                <w:b/>
                <w:bCs/>
                <w:color w:val="DC2626"/>
                <w:sz w:val="17"/>
                <w:szCs w:val="22"/>
              </w:rPr>
              <w:t>DEAD_LINK / INVALID_DOI</w:t>
            </w:r>
          </w:p>
        </w:tc>
        <w:tc>
          <w:tcPr>
            <w:tcW w:w="3600" w:type="dxa"/>
            <w:shd w:val="clear" w:fill="FFFFFF"/>
            <w:tcMar>
              <w:top w:w="80" w:type="dxa"/>
              <w:left w:w="100" w:type="dxa"/>
              <w:bottom w:w="80" w:type="dxa"/>
              <w:right w:w="100" w:type="dxa"/>
            </w:tcMar>
          </w:tcPr>
          <w:p w14:paraId="23A97084">
            <w:pPr>
              <w:spacing w:after="0"/>
            </w:pPr>
            <w:r>
              <w:rPr>
                <w:rFonts w:ascii="Segoe UI" w:hAnsi="Segoe UI" w:eastAsia="ＭＳ 明朝" w:cs="Segoe UI" w:eastAsiaTheme="minorEastAsia" w:csTheme="minorBidi"/>
                <w:color w:val="334155"/>
                <w:sz w:val="18"/>
                <w:szCs w:val="22"/>
              </w:rPr>
              <w:t>DOI syntax is invalid, DOI does not exist in registry, or landing server returns HTTP 404.</w:t>
            </w:r>
          </w:p>
        </w:tc>
        <w:tc>
          <w:tcPr>
            <w:tcW w:w="1584" w:type="dxa"/>
            <w:shd w:val="clear" w:fill="FFFFFF"/>
            <w:tcMar>
              <w:top w:w="80" w:type="dxa"/>
              <w:left w:w="100" w:type="dxa"/>
              <w:bottom w:w="80" w:type="dxa"/>
              <w:right w:w="100" w:type="dxa"/>
            </w:tcMar>
          </w:tcPr>
          <w:p w14:paraId="60146533">
            <w:pPr>
              <w:spacing w:after="0"/>
            </w:pPr>
            <w:r>
              <w:rPr>
                <w:rFonts w:ascii="Segoe UI" w:hAnsi="Segoe UI" w:eastAsia="ＭＳ 明朝" w:cs="Segoe UI" w:eastAsiaTheme="minorEastAsia" w:csTheme="minorBidi"/>
                <w:color w:val="334155"/>
                <w:sz w:val="18"/>
                <w:szCs w:val="22"/>
              </w:rPr>
              <w:t>Flagged Review</w:t>
            </w:r>
          </w:p>
        </w:tc>
        <w:tc>
          <w:tcPr>
            <w:tcW w:w="1872" w:type="dxa"/>
            <w:shd w:val="clear" w:fill="FFFFFF"/>
            <w:tcMar>
              <w:top w:w="80" w:type="dxa"/>
              <w:left w:w="100" w:type="dxa"/>
              <w:bottom w:w="80" w:type="dxa"/>
              <w:right w:w="100" w:type="dxa"/>
            </w:tcMar>
          </w:tcPr>
          <w:p w14:paraId="27C63FA9">
            <w:pPr>
              <w:spacing w:after="0"/>
            </w:pPr>
            <w:r>
              <w:rPr>
                <w:rFonts w:ascii="Segoe UI" w:hAnsi="Segoe UI" w:eastAsia="ＭＳ 明朝" w:cs="Segoe UI" w:eastAsiaTheme="minorEastAsia" w:csTheme="minorBidi"/>
                <w:color w:val="334155"/>
                <w:sz w:val="18"/>
                <w:szCs w:val="22"/>
              </w:rPr>
              <w:t>Broken URL / Defunct Link</w:t>
            </w:r>
          </w:p>
        </w:tc>
      </w:tr>
      <w:tr>
        <w:tc>
          <w:tcPr>
            <w:tcW w:w="2592" w:type="dxa"/>
            <w:shd w:val="clear" w:fill="F8FAFC"/>
            <w:tcMar>
              <w:top w:w="80" w:type="dxa"/>
              <w:left w:w="100" w:type="dxa"/>
              <w:bottom w:w="80" w:type="dxa"/>
              <w:right w:w="100" w:type="dxa"/>
            </w:tcMar>
          </w:tcPr>
          <w:p w14:paraId="75BF7743">
            <w:pPr>
              <w:spacing w:after="0"/>
            </w:pPr>
            <w:r>
              <w:rPr>
                <w:rFonts w:ascii="Consolas" w:hAnsi="Consolas" w:eastAsia="ＭＳ 明朝" w:cs="Consolas" w:eastAsiaTheme="minorEastAsia" w:csTheme="minorBidi"/>
                <w:b/>
                <w:bCs/>
                <w:color w:val="D97706"/>
                <w:sz w:val="17"/>
                <w:szCs w:val="22"/>
              </w:rPr>
              <w:t>AMBIGUOUS / UNVERIFIED</w:t>
            </w:r>
          </w:p>
        </w:tc>
        <w:tc>
          <w:tcPr>
            <w:tcW w:w="3600" w:type="dxa"/>
            <w:shd w:val="clear" w:fill="F8FAFC"/>
            <w:tcMar>
              <w:top w:w="80" w:type="dxa"/>
              <w:left w:w="100" w:type="dxa"/>
              <w:bottom w:w="80" w:type="dxa"/>
              <w:right w:w="100" w:type="dxa"/>
            </w:tcMar>
          </w:tcPr>
          <w:p w14:paraId="3111FEE1">
            <w:pPr>
              <w:spacing w:after="0"/>
            </w:pPr>
            <w:r>
              <w:rPr>
                <w:rFonts w:ascii="Segoe UI" w:hAnsi="Segoe UI" w:eastAsia="ＭＳ 明朝" w:cs="Segoe UI" w:eastAsiaTheme="minorEastAsia" w:csTheme="minorBidi"/>
                <w:color w:val="334155"/>
                <w:sz w:val="18"/>
                <w:szCs w:val="22"/>
              </w:rPr>
              <w:t>Multiple competing search candidates or similarity scores fall within borderline thresholds.</w:t>
            </w:r>
          </w:p>
        </w:tc>
        <w:tc>
          <w:tcPr>
            <w:tcW w:w="1584" w:type="dxa"/>
            <w:shd w:val="clear" w:fill="F8FAFC"/>
            <w:tcMar>
              <w:top w:w="80" w:type="dxa"/>
              <w:left w:w="100" w:type="dxa"/>
              <w:bottom w:w="80" w:type="dxa"/>
              <w:right w:w="100" w:type="dxa"/>
            </w:tcMar>
          </w:tcPr>
          <w:p w14:paraId="2170AAB3">
            <w:pPr>
              <w:spacing w:after="0"/>
            </w:pPr>
            <w:r>
              <w:rPr>
                <w:rFonts w:ascii="Segoe UI" w:hAnsi="Segoe UI" w:eastAsia="ＭＳ 明朝" w:cs="Segoe UI" w:eastAsiaTheme="minorEastAsia" w:csTheme="minorBidi"/>
                <w:color w:val="334155"/>
                <w:sz w:val="18"/>
                <w:szCs w:val="22"/>
              </w:rPr>
              <w:t>Human Triage</w:t>
            </w:r>
          </w:p>
        </w:tc>
        <w:tc>
          <w:tcPr>
            <w:tcW w:w="1872" w:type="dxa"/>
            <w:shd w:val="clear" w:fill="F8FAFC"/>
            <w:tcMar>
              <w:top w:w="80" w:type="dxa"/>
              <w:left w:w="100" w:type="dxa"/>
              <w:bottom w:w="80" w:type="dxa"/>
              <w:right w:w="100" w:type="dxa"/>
            </w:tcMar>
          </w:tcPr>
          <w:p w14:paraId="6A54118B">
            <w:pPr>
              <w:spacing w:after="0"/>
            </w:pPr>
            <w:r>
              <w:rPr>
                <w:rFonts w:ascii="Segoe UI" w:hAnsi="Segoe UI" w:eastAsia="ＭＳ 明朝" w:cs="Segoe UI" w:eastAsiaTheme="minorEastAsia" w:csTheme="minorBidi"/>
                <w:color w:val="334155"/>
                <w:sz w:val="18"/>
                <w:szCs w:val="22"/>
              </w:rPr>
              <w:t>Human Review Queue</w:t>
            </w:r>
          </w:p>
        </w:tc>
      </w:tr>
    </w:tbl>
    <w:p w14:paraId="6F7E3E0B">
      <w:pPr>
        <w:spacing w:after="280"/>
      </w:pPr>
    </w:p>
    <w:p w14:paraId="700EDAAD">
      <w:pPr>
        <w:pStyle w:val="Heading2"/>
        <w:spacing w:before="240" w:after="80"/>
      </w:pPr>
      <w:r>
        <w:rPr>
          <w:rFonts w:ascii="Segoe UI" w:hAnsi="Segoe UI" w:eastAsia="ＭＳ ゴシック" w:cs="Segoe UI" w:eastAsiaTheme="majorEastAsia" w:csTheme="majorBidi"/>
          <w:b/>
          <w:bCs/>
          <w:color w:val="4F46E5"/>
          <w:sz w:val="26"/>
          <w:szCs w:val="26"/>
        </w:rPr>
        <w:t>Stage 6: Storage, Web Studio &amp; Reporting Infrastructure</w:t>
      </w:r>
    </w:p>
    <w:p w14:paraId="2953522E">
      <w:pPr>
        <w:spacing w:after="160" w:line="288" w:lineRule="auto"/>
      </w:pPr>
      <w:r>
        <w:rPr>
          <w:rFonts w:ascii="Segoe UI" w:hAnsi="Segoe UI" w:eastAsia="ＭＳ 明朝" w:cs="Segoe UI" w:eastAsiaTheme="minorEastAsia" w:csTheme="minorBidi"/>
          <w:color w:val="334155"/>
          <w:sz w:val="22"/>
          <w:szCs w:val="22"/>
        </w:rPr>
        <w:t>The presentation and storage layer is powered by a high-performance stack:</w:t>
      </w:r>
      <w:r>
        <w:br w:type="textWrapping"/>
      </w:r>
      <w:r>
        <w:rPr>
          <w:rFonts w:ascii="Segoe UI" w:hAnsi="Segoe UI" w:eastAsia="ＭＳ 明朝" w:cs="Segoe UI" w:eastAsiaTheme="minorEastAsia" w:csTheme="minorBidi"/>
          <w:color w:val="334155"/>
          <w:sz w:val="22"/>
          <w:szCs w:val="22"/>
        </w:rPr>
        <w:t>• SQLite Database Engine: Maintains references_indexed and documents_summary with full-text search (FTS5) indexes, enabling sub-10ms queries across 17,252+ citations.</w:t>
      </w:r>
      <w:r>
        <w:br w:type="textWrapping"/>
      </w:r>
      <w:r>
        <w:rPr>
          <w:rFonts w:ascii="Segoe UI" w:hAnsi="Segoe UI" w:eastAsia="ＭＳ 明朝" w:cs="Segoe UI" w:eastAsiaTheme="minorEastAsia" w:csTheme="minorBidi"/>
          <w:color w:val="334155"/>
          <w:sz w:val="22"/>
          <w:szCs w:val="22"/>
        </w:rPr>
        <w:t>• FastAPI REST Server: Provides high-speed asynchronous REST endpoints (/api/references, /api/documents, /api/stats, /api/custom-audit/run, /api/custom-audit/export-excel).</w:t>
      </w:r>
      <w:r>
        <w:br w:type="textWrapping"/>
      </w:r>
      <w:r>
        <w:rPr>
          <w:rFonts w:ascii="Segoe UI" w:hAnsi="Segoe UI" w:eastAsia="ＭＳ 明朝" w:cs="Segoe UI" w:eastAsiaTheme="minorEastAsia" w:csTheme="minorBidi"/>
          <w:color w:val="334155"/>
          <w:sz w:val="22"/>
          <w:szCs w:val="22"/>
        </w:rPr>
        <w:t>• React Reference Studio: A responsive dashboard featuring an 11-column data table, live manuscript filters, status badges, and a dedicated Title Sim column.</w:t>
      </w:r>
      <w:r>
        <w:br w:type="textWrapping"/>
      </w:r>
      <w:r>
        <w:rPr>
          <w:rFonts w:ascii="Segoe UI" w:hAnsi="Segoe UI" w:eastAsia="ＭＳ 明朝" w:cs="Segoe UI" w:eastAsiaTheme="minorEastAsia" w:csTheme="minorBidi"/>
          <w:color w:val="334155"/>
          <w:sz w:val="22"/>
          <w:szCs w:val="22"/>
        </w:rPr>
        <w:t>• Slide-Over Diagnostic Inspector: A drawer providing zero-latency inspection of cited text, resolved metadata, title/author similarity gauges, and automated decision rationales.</w:t>
      </w:r>
      <w:r>
        <w:br w:type="textWrapping"/>
      </w:r>
      <w:r>
        <w:rPr>
          <w:rFonts w:ascii="Segoe UI" w:hAnsi="Segoe UI" w:eastAsia="ＭＳ 明朝" w:cs="Segoe UI" w:eastAsiaTheme="minorEastAsia" w:csTheme="minorBidi"/>
          <w:color w:val="334155"/>
          <w:sz w:val="22"/>
          <w:szCs w:val="22"/>
        </w:rPr>
        <w:t>• Multi-Sheet Excel Exporter: Generates styled workbooks (.xlsx) with dedicated tabs for Executive Summary, Verified Citations, Human Review Queue, and Dead Links.</w:t>
      </w:r>
    </w:p>
    <w:p w14:paraId="760FB968">
      <w:pPr>
        <w:pStyle w:val="Heading1"/>
        <w:spacing w:before="360" w:after="160"/>
      </w:pPr>
      <w:r>
        <w:rPr>
          <w:rFonts w:ascii="Segoe UI" w:hAnsi="Segoe UI" w:eastAsia="ＭＳ ゴシック" w:cs="Segoe UI" w:eastAsiaTheme="majorEastAsia" w:csTheme="majorBidi"/>
          <w:b/>
          <w:bCs/>
          <w:color w:val="1E293B"/>
          <w:sz w:val="28"/>
          <w:szCs w:val="28"/>
        </w:rPr>
        <w:t>4. Empirical Case Studies &amp; Validation Results</w:t>
      </w:r>
    </w:p>
    <w:p w14:paraId="36AC6933">
      <w:pPr>
        <w:pStyle w:val="Heading3"/>
        <w:spacing w:before="200" w:after="60"/>
      </w:pPr>
      <w:r>
        <w:rPr>
          <w:rFonts w:ascii="Segoe UI" w:hAnsi="Segoe UI" w:eastAsia="ＭＳ ゴシック" w:cs="Segoe UI" w:eastAsiaTheme="majorEastAsia" w:csTheme="majorBidi"/>
          <w:b/>
          <w:bCs/>
          <w:color w:val="0F172A"/>
          <w:sz w:val="22"/>
          <w:szCs w:val="22"/>
        </w:rPr>
        <w:t>Case Study 1: Resolving the 40-Reference Pagination Ceiling (Paper 85116424104)</w:t>
      </w:r>
    </w:p>
    <w:p w14:paraId="7E6D8B5A">
      <w:pPr>
        <w:spacing w:after="120" w:line="276" w:lineRule="auto"/>
      </w:pPr>
      <w:r>
        <w:rPr>
          <w:rFonts w:ascii="Segoe UI" w:hAnsi="Segoe UI" w:eastAsia="ＭＳ 明朝" w:cs="Segoe UI" w:eastAsiaTheme="minorEastAsia" w:csTheme="minorBidi"/>
          <w:color w:val="334155"/>
          <w:sz w:val="22"/>
          <w:szCs w:val="22"/>
        </w:rPr>
        <w:t>Paper 'Artificial intelligence-assisted tools for redefining the communication landscape of the scholarly world' contains 99 references. Standard Elsevier API endpoints cap responses at 40 items per page. By transitioning to view=FULL bibrecord extraction, the pipeline successfully extracted, parsed, and audited all 99 of 99 references with 100% Scopus linkage.</w:t>
      </w:r>
    </w:p>
    <w:p w14:paraId="3D36CFE6">
      <w:pPr>
        <w:pStyle w:val="Heading3"/>
        <w:spacing w:before="200" w:after="60"/>
      </w:pPr>
      <w:r>
        <w:rPr>
          <w:rFonts w:ascii="Segoe UI" w:hAnsi="Segoe UI" w:eastAsia="ＭＳ ゴシック" w:cs="Segoe UI" w:eastAsiaTheme="majorEastAsia" w:csTheme="majorBidi"/>
          <w:b/>
          <w:bCs/>
          <w:color w:val="0F172A"/>
          <w:sz w:val="22"/>
          <w:szCs w:val="22"/>
        </w:rPr>
        <w:t>Case Study 2: Restoring Title Similarity for Non-Journal Reports (Paper 105047681813)</w:t>
      </w:r>
    </w:p>
    <w:p w14:paraId="60C54FBB">
      <w:pPr>
        <w:spacing w:after="120" w:line="276" w:lineRule="auto"/>
      </w:pPr>
      <w:r>
        <w:rPr>
          <w:rFonts w:ascii="Segoe UI" w:hAnsi="Segoe UI" w:eastAsia="ＭＳ 明朝" w:cs="Segoe UI" w:eastAsiaTheme="minorEastAsia" w:csTheme="minorBidi"/>
          <w:color w:val="334155"/>
          <w:sz w:val="22"/>
          <w:szCs w:val="22"/>
        </w:rPr>
        <w:t>Paper 'AI Adoption by Italian Startups: A Measurement Framework' (27 references) cites numerous industry reports (McKinsey, Bank of Italy, Accenture). These records returned empty dictionaries {} in Elsevier's ref-title field, resulting in 0% title similarity. Implementing ref-sourcetitle fallbacks restored accurate title similarity scores (100% and 90%) across all report citations.</w:t>
      </w:r>
    </w:p>
    <w:p w14:paraId="72175E61">
      <w:pPr>
        <w:pStyle w:val="Heading3"/>
        <w:spacing w:before="200" w:after="60"/>
      </w:pPr>
      <w:r>
        <w:rPr>
          <w:rFonts w:ascii="Segoe UI" w:hAnsi="Segoe UI" w:eastAsia="ＭＳ ゴシック" w:cs="Segoe UI" w:eastAsiaTheme="majorEastAsia" w:csTheme="majorBidi"/>
          <w:b/>
          <w:bCs/>
          <w:color w:val="0F172A"/>
          <w:sz w:val="22"/>
          <w:szCs w:val="22"/>
        </w:rPr>
        <w:t>Case Study 3: High-Confidence DOI Recovery for Unlinked Citations</w:t>
      </w:r>
    </w:p>
    <w:p w14:paraId="4DDD1746">
      <w:pPr>
        <w:spacing w:after="120" w:line="276" w:lineRule="auto"/>
      </w:pPr>
      <w:r>
        <w:rPr>
          <w:rFonts w:ascii="Segoe UI" w:hAnsi="Segoe UI" w:eastAsia="ＭＳ 明朝" w:cs="Segoe UI" w:eastAsiaTheme="minorEastAsia" w:csTheme="minorBidi"/>
          <w:color w:val="334155"/>
          <w:sz w:val="22"/>
          <w:szCs w:val="22"/>
        </w:rPr>
        <w:t>Citation #5 in Paper 105047681813 ('An AI adoption model for SMEs...') was cited without a registered DOI. The recovery engine performed a targeted Crossref title query, successfully identifying and linking DOI 10.1016/j.ifacol.2021.08.082 with a 100% title match and 0.70 composite confidence.</w:t>
      </w:r>
    </w:p>
    <w:sectPr>
      <w:footerReference w:type="default" r:id="rId9"/>
      <w:pgSz w:w="12240" w:h="15840"/>
      <w:pgMar w:top="1440" w:right="1440" w:bottom="1440" w:left="144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right"/>
    </w:pPr>
    <w:r>
      <w:rPr>
        <w:rFonts w:ascii="Segoe UI" w:hAnsi="Segoe UI"/>
        <w:color w:val="94A3B8"/>
        <w:sz w:val="18"/>
      </w:rPr>
      <w:t>Scientometric Reference Validation System — IIT Delhi Research Automation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2026-09-17T05:44:56.582Z</dcterms:modified>
  <cp:category/>
</cp:coreProperties>
</file>