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RESIDENTIAL TENANCY AGREEMENT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Residential Tenancies Act 1997 (Victoria)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 PARTIES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Landlord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Fiona Marshall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Tenant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David Okafor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Managing Agent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Acme Property Group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 Contact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Julia Torres | julia.torres@acmepg.com.au | +61 3 9555 0142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 RENTAL PROPERTY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105 King Street, Studio 2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Suburb/State/Postcode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Melbourne VIC 3000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 Type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Studio apartment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Furnished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 TERM OF TENANCY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Commencement Date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May 2026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Expiry Date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 October 2026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Lease Duration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months (fixed term)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 RENT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Rent Amount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$1,750.00 AUD per month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 Frequency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 Method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bank transfer to agent-nominated account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 Payment Due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May 2026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 BOND (SECURITY DEPOSIT)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Bond Amount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$3,500.00 AUD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Equivalent To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months rent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Lodged With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Residential Tenancies Bond Authority (RTBA)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bond shall be lodged with the RTBA within 10 business days of receipt.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6. OCCUPANCY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Maximum Occupants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Named Occupant(s)</w:t>
            </w:r>
          </w:p>
        </w:tc>
        <w:tc>
          <w:tcPr>
            <w:tcW w:type="dxa" w:w="6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David Okafor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7. PETS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tenant has been granted permission to keep one (1) domestic cat at the property, subject to the following conditions:</w:t>
      </w:r>
    </w:p>
    <w:p>
      <w:pPr>
        <w:spacing w:after="100"/>
        <w:ind w:left="36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7.1. </w:t>
      </w:r>
      <w:r>
        <w:rPr>
          <w:rFonts w:ascii="Arial" w:cs="Arial" w:eastAsia="Arial" w:hAnsi="Arial"/>
          <w:sz w:val="20"/>
          <w:szCs w:val="20"/>
        </w:rPr>
        <w:t xml:space="preserve">The pet must be desexed and microchipped in accordance with Victorian law.</w:t>
      </w:r>
    </w:p>
    <w:p>
      <w:pPr>
        <w:spacing w:after="100"/>
        <w:ind w:left="36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7.2. </w:t>
      </w:r>
      <w:r>
        <w:rPr>
          <w:rFonts w:ascii="Arial" w:cs="Arial" w:eastAsia="Arial" w:hAnsi="Arial"/>
          <w:sz w:val="20"/>
          <w:szCs w:val="20"/>
        </w:rPr>
        <w:t xml:space="preserve">The tenant is responsible for any damage caused by the pet, including but not limited to carpet, flooring, doors, and window furnishings.</w:t>
      </w:r>
    </w:p>
    <w:p>
      <w:pPr>
        <w:spacing w:after="100"/>
        <w:ind w:left="36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7.3. </w:t>
      </w:r>
      <w:r>
        <w:rPr>
          <w:rFonts w:ascii="Arial" w:cs="Arial" w:eastAsia="Arial" w:hAnsi="Arial"/>
          <w:sz w:val="20"/>
          <w:szCs w:val="20"/>
        </w:rPr>
        <w:t xml:space="preserve">The property must be professionally cleaned at the end of the tenancy, including a flea treatment, at the tenant’s expense.</w:t>
      </w:r>
    </w:p>
    <w:p>
      <w:pPr>
        <w:spacing w:after="100"/>
        <w:ind w:left="36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7.4. </w:t>
      </w:r>
      <w:r>
        <w:rPr>
          <w:rFonts w:ascii="Arial" w:cs="Arial" w:eastAsia="Arial" w:hAnsi="Arial"/>
          <w:sz w:val="20"/>
          <w:szCs w:val="20"/>
        </w:rPr>
        <w:t xml:space="preserve">The landlord reserves the right to withdraw pet permission if the pet causes repeated disturbance to neighbours or damage to the property.</w:t>
      </w:r>
    </w:p>
    <w:p>
      <w:pPr>
        <w:spacing w:after="100"/>
        <w:ind w:left="36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7.5. </w:t>
      </w:r>
      <w:r>
        <w:rPr>
          <w:rFonts w:ascii="Arial" w:cs="Arial" w:eastAsia="Arial" w:hAnsi="Arial"/>
          <w:sz w:val="20"/>
          <w:szCs w:val="20"/>
        </w:rPr>
        <w:t xml:space="preserve">No additional pets may be kept without further written approval from the landlord.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8. PARKING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 designated parking is included with this tenancy.</w:t>
      </w:r>
    </w:p>
    <w:p>
      <w:r>
        <w:br w:type="pag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9. TENANT OBLIGATIONS</w:t>
      </w:r>
    </w:p>
    <w:p>
      <w:pPr>
        <w:spacing w:after="100"/>
        <w:ind w:left="36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9.1. </w:t>
      </w:r>
      <w:r>
        <w:rPr>
          <w:rFonts w:ascii="Arial" w:cs="Arial" w:eastAsia="Arial" w:hAnsi="Arial"/>
          <w:sz w:val="20"/>
          <w:szCs w:val="20"/>
        </w:rPr>
        <w:t xml:space="preserve">Pay rent on time and in full.</w:t>
      </w:r>
    </w:p>
    <w:p>
      <w:pPr>
        <w:spacing w:after="100"/>
        <w:ind w:left="36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9.2. </w:t>
      </w:r>
      <w:r>
        <w:rPr>
          <w:rFonts w:ascii="Arial" w:cs="Arial" w:eastAsia="Arial" w:hAnsi="Arial"/>
          <w:sz w:val="20"/>
          <w:szCs w:val="20"/>
        </w:rPr>
        <w:t xml:space="preserve">Keep the property in a reasonably clean condition and report damage or maintenance issues promptly.</w:t>
      </w:r>
    </w:p>
    <w:p>
      <w:pPr>
        <w:spacing w:after="100"/>
        <w:ind w:left="36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9.3. </w:t>
      </w:r>
      <w:r>
        <w:rPr>
          <w:rFonts w:ascii="Arial" w:cs="Arial" w:eastAsia="Arial" w:hAnsi="Arial"/>
          <w:sz w:val="20"/>
          <w:szCs w:val="20"/>
        </w:rPr>
        <w:t xml:space="preserve">Not make alterations without prior written consent.</w:t>
      </w:r>
    </w:p>
    <w:p>
      <w:pPr>
        <w:spacing w:after="100"/>
        <w:ind w:left="36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9.4. </w:t>
      </w:r>
      <w:r>
        <w:rPr>
          <w:rFonts w:ascii="Arial" w:cs="Arial" w:eastAsia="Arial" w:hAnsi="Arial"/>
          <w:sz w:val="20"/>
          <w:szCs w:val="20"/>
        </w:rPr>
        <w:t xml:space="preserve">Not cause nuisance or interference with neighbours.</w:t>
      </w:r>
    </w:p>
    <w:p>
      <w:pPr>
        <w:spacing w:after="100"/>
        <w:ind w:left="36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9.5. </w:t>
      </w:r>
      <w:r>
        <w:rPr>
          <w:rFonts w:ascii="Arial" w:cs="Arial" w:eastAsia="Arial" w:hAnsi="Arial"/>
          <w:sz w:val="20"/>
          <w:szCs w:val="20"/>
        </w:rPr>
        <w:t xml:space="preserve">Comply with all pet-related conditions specified in Section 7.</w:t>
      </w:r>
    </w:p>
    <w:p>
      <w:pPr>
        <w:spacing w:after="100"/>
        <w:ind w:left="36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9.6. </w:t>
      </w:r>
      <w:r>
        <w:rPr>
          <w:rFonts w:ascii="Arial" w:cs="Arial" w:eastAsia="Arial" w:hAnsi="Arial"/>
          <w:sz w:val="20"/>
          <w:szCs w:val="20"/>
        </w:rPr>
        <w:t xml:space="preserve">Allow inspections with appropriate notice.</w:t>
      </w:r>
    </w:p>
    <w:p>
      <w:pPr>
        <w:spacing w:after="100"/>
        <w:ind w:left="36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9.7. </w:t>
      </w:r>
      <w:r>
        <w:rPr>
          <w:rFonts w:ascii="Arial" w:cs="Arial" w:eastAsia="Arial" w:hAnsi="Arial"/>
          <w:sz w:val="20"/>
          <w:szCs w:val="20"/>
        </w:rPr>
        <w:t xml:space="preserve">Return the property in the same condition as at commencement, allowing for fair wear and tear.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10. LANDLORD OBLIGATIONS</w:t>
      </w:r>
    </w:p>
    <w:p>
      <w:pPr>
        <w:spacing w:after="100"/>
        <w:ind w:left="36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10.1. </w:t>
      </w:r>
      <w:r>
        <w:rPr>
          <w:rFonts w:ascii="Arial" w:cs="Arial" w:eastAsia="Arial" w:hAnsi="Arial"/>
          <w:sz w:val="20"/>
          <w:szCs w:val="20"/>
        </w:rPr>
        <w:t xml:space="preserve">Ensure the property is clean and fit for habitation at commencement.</w:t>
      </w:r>
    </w:p>
    <w:p>
      <w:pPr>
        <w:spacing w:after="100"/>
        <w:ind w:left="36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10.2. </w:t>
      </w:r>
      <w:r>
        <w:rPr>
          <w:rFonts w:ascii="Arial" w:cs="Arial" w:eastAsia="Arial" w:hAnsi="Arial"/>
          <w:sz w:val="20"/>
          <w:szCs w:val="20"/>
        </w:rPr>
        <w:t xml:space="preserve">Maintain the property in good repair.</w:t>
      </w:r>
    </w:p>
    <w:p>
      <w:pPr>
        <w:spacing w:after="100"/>
        <w:ind w:left="36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10.3. </w:t>
      </w:r>
      <w:r>
        <w:rPr>
          <w:rFonts w:ascii="Arial" w:cs="Arial" w:eastAsia="Arial" w:hAnsi="Arial"/>
          <w:sz w:val="20"/>
          <w:szCs w:val="20"/>
        </w:rPr>
        <w:t xml:space="preserve">Not unreasonably interfere with the tenant’s quiet enjoyment of the property.</w:t>
      </w:r>
    </w:p>
    <w:p>
      <w:pPr>
        <w:spacing w:after="100"/>
        <w:ind w:left="360" w:hanging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10.4. </w:t>
      </w:r>
      <w:r>
        <w:rPr>
          <w:rFonts w:ascii="Arial" w:cs="Arial" w:eastAsia="Arial" w:hAnsi="Arial"/>
          <w:sz w:val="20"/>
          <w:szCs w:val="20"/>
        </w:rPr>
        <w:t xml:space="preserve">Comply with all notice requirements under the Act.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11. SPECIAL CONDITIONS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Nil. No special conditions apply.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12. GENERAL PROVISIONS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agreement is governed by the Residential Tenancies Act 1997 (Victoria).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13. EXECUTION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By signing below, the parties agree to be bound by the terms of this agreement.</w:t>
      </w:r>
    </w:p>
    <w:p>
      <w:pPr>
        <w:spacing w:before="400"/>
      </w:pP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Landlord: Fiona Marshall                                               Date</w:t>
      </w:r>
    </w:p>
    <w:p>
      <w:pPr>
        <w:spacing w:before="400"/>
      </w:pP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Tenant: David Okafor                                                     Date</w:t>
      </w:r>
    </w:p>
    <w:p>
      <w:pPr>
        <w:spacing w:before="400"/>
      </w:pP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Agent: Julia Torres, Acme Property Group                Date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2026-02-24T23:58:57.279Z</dcterms:created>
  <dcterms:modified xsi:type="dcterms:W3CDTF">2026-02-24T23:58:57.279Z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