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a1a1a"/>
          <w:sz w:val="36"/>
          <w:szCs w:val="36"/>
        </w:rPr>
        <w:t xml:space="preserve">RESIDENTIAL TENANCY AGREEMENT</w:t>
      </w:r>
    </w:p>
    <w:p>
      <w:pPr>
        <w:spacing w:after="80"/>
        <w:jc w:val="both"/>
      </w:pPr>
      <w:r>
        <w:rPr>
          <w:rFonts w:ascii="Calibri" w:cs="Calibri" w:eastAsia="Calibri" w:hAnsi="Calibri"/>
          <w:i/>
          <w:iCs/>
          <w:color w:val="666666"/>
          <w:sz w:val="20"/>
          <w:szCs w:val="20"/>
        </w:rPr>
        <w:t xml:space="preserve">State of Victoria, Australia</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PARTIES</w:t>
      </w:r>
    </w:p>
    <w:p>
      <w:pPr>
        <w:spacing w:after="160" w:line="276"/>
        <w:jc w:val="both"/>
      </w:pPr>
      <w:r>
        <w:rPr>
          <w:rFonts w:ascii="Calibri" w:cs="Calibri" w:eastAsia="Calibri" w:hAnsi="Calibri"/>
          <w:sz w:val="21"/>
          <w:szCs w:val="21"/>
        </w:rPr>
        <w:t xml:space="preserve">This Residential Tenancy Agreement is entered into between </w:t>
      </w:r>
      <w:r>
        <w:rPr>
          <w:rFonts w:ascii="Calibri" w:cs="Calibri" w:eastAsia="Calibri" w:hAnsi="Calibri"/>
          <w:b/>
          <w:bCs/>
          <w:sz w:val="21"/>
          <w:szCs w:val="21"/>
        </w:rPr>
        <w:t xml:space="preserve">Gregory Tan</w:t>
      </w:r>
      <w:r>
        <w:rPr>
          <w:rFonts w:ascii="Calibri" w:cs="Calibri" w:eastAsia="Calibri" w:hAnsi="Calibri"/>
          <w:sz w:val="21"/>
          <w:szCs w:val="21"/>
        </w:rPr>
        <w:t xml:space="preserve"> (hereinafter referred to as the </w:t>
      </w:r>
      <w:r>
        <w:rPr>
          <w:rFonts w:ascii="Calibri" w:cs="Calibri" w:eastAsia="Calibri" w:hAnsi="Calibri"/>
          <w:b/>
          <w:bCs/>
          <w:sz w:val="21"/>
          <w:szCs w:val="21"/>
        </w:rPr>
        <w:t xml:space="preserve">Landlord</w:t>
      </w:r>
      <w:r>
        <w:rPr>
          <w:rFonts w:ascii="Calibri" w:cs="Calibri" w:eastAsia="Calibri" w:hAnsi="Calibri"/>
          <w:sz w:val="21"/>
          <w:szCs w:val="21"/>
        </w:rPr>
        <w:t xml:space="preserve">) and </w:t>
      </w:r>
      <w:r>
        <w:rPr>
          <w:rFonts w:ascii="Calibri" w:cs="Calibri" w:eastAsia="Calibri" w:hAnsi="Calibri"/>
          <w:b/>
          <w:bCs/>
          <w:sz w:val="21"/>
          <w:szCs w:val="21"/>
        </w:rPr>
        <w:t xml:space="preserve">Emma Whitfield</w:t>
      </w:r>
      <w:r>
        <w:rPr>
          <w:rFonts w:ascii="Calibri" w:cs="Calibri" w:eastAsia="Calibri" w:hAnsi="Calibri"/>
          <w:sz w:val="21"/>
          <w:szCs w:val="21"/>
        </w:rPr>
        <w:t xml:space="preserve"> (hereinafter referred to as the </w:t>
      </w:r>
      <w:r>
        <w:rPr>
          <w:rFonts w:ascii="Calibri" w:cs="Calibri" w:eastAsia="Calibri" w:hAnsi="Calibri"/>
          <w:b/>
          <w:bCs/>
          <w:sz w:val="21"/>
          <w:szCs w:val="21"/>
        </w:rPr>
        <w:t xml:space="preserve">Tenant</w:t>
      </w:r>
      <w:r>
        <w:rPr>
          <w:rFonts w:ascii="Calibri" w:cs="Calibri" w:eastAsia="Calibri" w:hAnsi="Calibri"/>
          <w:sz w:val="21"/>
          <w:szCs w:val="21"/>
        </w:rPr>
        <w:t xml:space="preserve">). The Landlord’s property is managed by </w:t>
      </w:r>
      <w:r>
        <w:rPr>
          <w:rFonts w:ascii="Calibri" w:cs="Calibri" w:eastAsia="Calibri" w:hAnsi="Calibri"/>
          <w:b/>
          <w:bCs/>
          <w:sz w:val="21"/>
          <w:szCs w:val="21"/>
        </w:rPr>
        <w:t xml:space="preserve">Acme Property Group</w:t>
      </w:r>
      <w:r>
        <w:rPr>
          <w:rFonts w:ascii="Calibri" w:cs="Calibri" w:eastAsia="Calibri" w:hAnsi="Calibri"/>
          <w:sz w:val="21"/>
          <w:szCs w:val="21"/>
        </w:rPr>
        <w:t xml:space="preserve">, and all correspondence and enquiries should be directed to the managing agent.</w:t>
      </w:r>
    </w:p>
    <w:p>
      <w:pPr>
        <w:spacing w:after="160" w:line="276"/>
        <w:jc w:val="both"/>
      </w:pPr>
      <w:r>
        <w:rPr>
          <w:rFonts w:ascii="Calibri" w:cs="Calibri" w:eastAsia="Calibri" w:hAnsi="Calibri"/>
          <w:b/>
          <w:bCs/>
          <w:sz w:val="21"/>
          <w:szCs w:val="21"/>
        </w:rPr>
        <w:t xml:space="preserve">Property Manager Contact — </w:t>
      </w:r>
      <w:r>
        <w:rPr>
          <w:rFonts w:ascii="Calibri" w:cs="Calibri" w:eastAsia="Calibri" w:hAnsi="Calibri"/>
          <w:sz w:val="21"/>
          <w:szCs w:val="21"/>
        </w:rPr>
        <w:t xml:space="preserve">Julia Torres, Acme Property Group. Email: julia.torres@acmepg.com.au. Phone: +61 3 9555 0142.</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PREMISES</w:t>
      </w:r>
    </w:p>
    <w:p>
      <w:pPr>
        <w:spacing w:after="160" w:line="276"/>
        <w:jc w:val="both"/>
      </w:pPr>
      <w:r>
        <w:rPr>
          <w:rFonts w:ascii="Calibri" w:cs="Calibri" w:eastAsia="Calibri" w:hAnsi="Calibri"/>
          <w:sz w:val="21"/>
          <w:szCs w:val="21"/>
        </w:rPr>
        <w:t xml:space="preserve">The Landlord agrees to lease to the Tenant the residential premises located at </w:t>
      </w:r>
      <w:r>
        <w:rPr>
          <w:rFonts w:ascii="Calibri" w:cs="Calibri" w:eastAsia="Calibri" w:hAnsi="Calibri"/>
          <w:b/>
          <w:bCs/>
          <w:sz w:val="21"/>
          <w:szCs w:val="21"/>
        </w:rPr>
        <w:t xml:space="preserve">7/220 Harbour View Boulevard, Docklands VIC 3008</w:t>
      </w:r>
      <w:r>
        <w:rPr>
          <w:rFonts w:ascii="Calibri" w:cs="Calibri" w:eastAsia="Calibri" w:hAnsi="Calibri"/>
          <w:sz w:val="21"/>
          <w:szCs w:val="21"/>
        </w:rPr>
        <w:t xml:space="preserve"> (the </w:t>
      </w:r>
      <w:r>
        <w:rPr>
          <w:rFonts w:ascii="Calibri" w:cs="Calibri" w:eastAsia="Calibri" w:hAnsi="Calibri"/>
          <w:b/>
          <w:bCs/>
          <w:sz w:val="21"/>
          <w:szCs w:val="21"/>
        </w:rPr>
        <w:t xml:space="preserve">Premises</w:t>
      </w:r>
      <w:r>
        <w:rPr>
          <w:rFonts w:ascii="Calibri" w:cs="Calibri" w:eastAsia="Calibri" w:hAnsi="Calibri"/>
          <w:sz w:val="21"/>
          <w:szCs w:val="21"/>
        </w:rPr>
        <w:t xml:space="preserve">). The Premises are provided in a </w:t>
      </w:r>
      <w:r>
        <w:rPr>
          <w:rFonts w:ascii="Calibri" w:cs="Calibri" w:eastAsia="Calibri" w:hAnsi="Calibri"/>
          <w:b/>
          <w:bCs/>
          <w:sz w:val="21"/>
          <w:szCs w:val="21"/>
        </w:rPr>
        <w:t xml:space="preserve">furnished</w:t>
      </w:r>
      <w:r>
        <w:rPr>
          <w:rFonts w:ascii="Calibri" w:cs="Calibri" w:eastAsia="Calibri" w:hAnsi="Calibri"/>
          <w:sz w:val="21"/>
          <w:szCs w:val="21"/>
        </w:rPr>
        <w:t xml:space="preserve"> condition as detailed in the Furnished Items section of this agreement. The Tenant acknowledges having inspected the Premises prior to signing and accepts them in their current condition, subject to the property condition report completed at the commencement of the tenancy.</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TERM AND RENT</w:t>
      </w:r>
    </w:p>
    <w:p>
      <w:pPr>
        <w:spacing w:after="160" w:line="276"/>
        <w:jc w:val="both"/>
      </w:pPr>
      <w:r>
        <w:rPr>
          <w:rFonts w:ascii="Calibri" w:cs="Calibri" w:eastAsia="Calibri" w:hAnsi="Calibri"/>
          <w:sz w:val="21"/>
          <w:szCs w:val="21"/>
        </w:rPr>
        <w:t xml:space="preserve">The term of this tenancy shall commence on </w:t>
      </w:r>
      <w:r>
        <w:rPr>
          <w:rFonts w:ascii="Calibri" w:cs="Calibri" w:eastAsia="Calibri" w:hAnsi="Calibri"/>
          <w:b/>
          <w:bCs/>
          <w:sz w:val="21"/>
          <w:szCs w:val="21"/>
        </w:rPr>
        <w:t xml:space="preserve">1 June 2026</w:t>
      </w:r>
      <w:r>
        <w:rPr>
          <w:rFonts w:ascii="Calibri" w:cs="Calibri" w:eastAsia="Calibri" w:hAnsi="Calibri"/>
          <w:sz w:val="21"/>
          <w:szCs w:val="21"/>
        </w:rPr>
        <w:t xml:space="preserve"> and shall expire on </w:t>
      </w:r>
      <w:r>
        <w:rPr>
          <w:rFonts w:ascii="Calibri" w:cs="Calibri" w:eastAsia="Calibri" w:hAnsi="Calibri"/>
          <w:b/>
          <w:bCs/>
          <w:sz w:val="21"/>
          <w:szCs w:val="21"/>
        </w:rPr>
        <w:t xml:space="preserve">31 May 2027</w:t>
      </w:r>
      <w:r>
        <w:rPr>
          <w:rFonts w:ascii="Calibri" w:cs="Calibri" w:eastAsia="Calibri" w:hAnsi="Calibri"/>
          <w:sz w:val="21"/>
          <w:szCs w:val="21"/>
        </w:rPr>
        <w:t xml:space="preserve">, constituting a fixed term of </w:t>
      </w:r>
      <w:r>
        <w:rPr>
          <w:rFonts w:ascii="Calibri" w:cs="Calibri" w:eastAsia="Calibri" w:hAnsi="Calibri"/>
          <w:b/>
          <w:bCs/>
          <w:sz w:val="21"/>
          <w:szCs w:val="21"/>
        </w:rPr>
        <w:t xml:space="preserve">12 months</w:t>
      </w:r>
      <w:r>
        <w:rPr>
          <w:rFonts w:ascii="Calibri" w:cs="Calibri" w:eastAsia="Calibri" w:hAnsi="Calibri"/>
          <w:sz w:val="21"/>
          <w:szCs w:val="21"/>
        </w:rPr>
        <w:t xml:space="preserve">. Upon expiry, the tenancy may continue on a month-to-month basis in accordance with the </w:t>
      </w:r>
      <w:r>
        <w:rPr>
          <w:rFonts w:ascii="Calibri" w:cs="Calibri" w:eastAsia="Calibri" w:hAnsi="Calibri"/>
          <w:i/>
          <w:iCs/>
          <w:sz w:val="21"/>
          <w:szCs w:val="21"/>
        </w:rPr>
        <w:t xml:space="preserve">Residential Tenancies Act 1997 (Vic)</w:t>
      </w:r>
      <w:r>
        <w:rPr>
          <w:rFonts w:ascii="Calibri" w:cs="Calibri" w:eastAsia="Calibri" w:hAnsi="Calibri"/>
          <w:sz w:val="21"/>
          <w:szCs w:val="21"/>
        </w:rPr>
        <w:t xml:space="preserve">, unless either party provides written notice of termination as required by law.</w:t>
      </w:r>
    </w:p>
    <w:p>
      <w:pPr>
        <w:spacing w:after="160" w:line="276"/>
        <w:jc w:val="both"/>
      </w:pPr>
      <w:r>
        <w:rPr>
          <w:rFonts w:ascii="Calibri" w:cs="Calibri" w:eastAsia="Calibri" w:hAnsi="Calibri"/>
          <w:sz w:val="21"/>
          <w:szCs w:val="21"/>
        </w:rPr>
        <w:t xml:space="preserve">The Tenant agrees to pay a monthly rent of </w:t>
      </w:r>
      <w:r>
        <w:rPr>
          <w:rFonts w:ascii="Calibri" w:cs="Calibri" w:eastAsia="Calibri" w:hAnsi="Calibri"/>
          <w:b/>
          <w:bCs/>
          <w:sz w:val="21"/>
          <w:szCs w:val="21"/>
        </w:rPr>
        <w:t xml:space="preserve">$3,100.00 AUD</w:t>
      </w:r>
      <w:r>
        <w:rPr>
          <w:rFonts w:ascii="Calibri" w:cs="Calibri" w:eastAsia="Calibri" w:hAnsi="Calibri"/>
          <w:sz w:val="21"/>
          <w:szCs w:val="21"/>
        </w:rPr>
        <w:t xml:space="preserve">, payable in advance on or before the first day of each calendar month. Rent shall be paid by electronic funds transfer to the account nominated by the Landlord or managing agent. Should rent remain unpaid for more than </w:t>
      </w:r>
      <w:r>
        <w:rPr>
          <w:rFonts w:ascii="Calibri" w:cs="Calibri" w:eastAsia="Calibri" w:hAnsi="Calibri"/>
          <w:b/>
          <w:bCs/>
          <w:sz w:val="21"/>
          <w:szCs w:val="21"/>
        </w:rPr>
        <w:t xml:space="preserve">14 days</w:t>
      </w:r>
      <w:r>
        <w:rPr>
          <w:rFonts w:ascii="Calibri" w:cs="Calibri" w:eastAsia="Calibri" w:hAnsi="Calibri"/>
          <w:sz w:val="21"/>
          <w:szCs w:val="21"/>
        </w:rPr>
        <w:t xml:space="preserve"> after the due date, the Landlord reserves the right to issue a breach of duty notice and pursue remedies available under the Act.</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BOND</w:t>
      </w:r>
    </w:p>
    <w:p>
      <w:pPr>
        <w:spacing w:after="160" w:line="276"/>
        <w:jc w:val="both"/>
      </w:pPr>
      <w:r>
        <w:rPr>
          <w:rFonts w:ascii="Calibri" w:cs="Calibri" w:eastAsia="Calibri" w:hAnsi="Calibri"/>
          <w:sz w:val="21"/>
          <w:szCs w:val="21"/>
        </w:rPr>
        <w:t xml:space="preserve">The Tenant shall pay a bond of </w:t>
      </w:r>
      <w:r>
        <w:rPr>
          <w:rFonts w:ascii="Calibri" w:cs="Calibri" w:eastAsia="Calibri" w:hAnsi="Calibri"/>
          <w:b/>
          <w:bCs/>
          <w:sz w:val="21"/>
          <w:szCs w:val="21"/>
        </w:rPr>
        <w:t xml:space="preserve">$6,200.00 AUD</w:t>
      </w:r>
      <w:r>
        <w:rPr>
          <w:rFonts w:ascii="Calibri" w:cs="Calibri" w:eastAsia="Calibri" w:hAnsi="Calibri"/>
          <w:sz w:val="21"/>
          <w:szCs w:val="21"/>
        </w:rPr>
        <w:t xml:space="preserve"> prior to or on the commencement date. This bond is equivalent to two months’ rent and will be lodged with the </w:t>
      </w:r>
      <w:r>
        <w:rPr>
          <w:rFonts w:ascii="Calibri" w:cs="Calibri" w:eastAsia="Calibri" w:hAnsi="Calibri"/>
          <w:b/>
          <w:bCs/>
          <w:sz w:val="21"/>
          <w:szCs w:val="21"/>
        </w:rPr>
        <w:t xml:space="preserve">Residential Tenancies Bond Authority (RTBA)</w:t>
      </w:r>
      <w:r>
        <w:rPr>
          <w:rFonts w:ascii="Calibri" w:cs="Calibri" w:eastAsia="Calibri" w:hAnsi="Calibri"/>
          <w:sz w:val="21"/>
          <w:szCs w:val="21"/>
        </w:rPr>
        <w:t xml:space="preserve"> in accordance with Victorian legislation. The bond, or any remaining portion thereof, will be refunded to the Tenant at the conclusion of the tenancy, provided the Premises are returned in satisfactory condition, all rent has been paid, and no breaches of this agreement have occurred.</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OCCUPANCY AND USE</w:t>
      </w:r>
    </w:p>
    <w:p>
      <w:pPr>
        <w:spacing w:after="160" w:line="276"/>
        <w:jc w:val="both"/>
      </w:pPr>
      <w:r>
        <w:rPr>
          <w:rFonts w:ascii="Calibri" w:cs="Calibri" w:eastAsia="Calibri" w:hAnsi="Calibri"/>
          <w:sz w:val="21"/>
          <w:szCs w:val="21"/>
        </w:rPr>
        <w:t xml:space="preserve">The Premises shall be occupied by </w:t>
      </w:r>
      <w:r>
        <w:rPr>
          <w:rFonts w:ascii="Calibri" w:cs="Calibri" w:eastAsia="Calibri" w:hAnsi="Calibri"/>
          <w:b/>
          <w:bCs/>
          <w:sz w:val="21"/>
          <w:szCs w:val="21"/>
        </w:rPr>
        <w:t xml:space="preserve">1 person</w:t>
      </w:r>
      <w:r>
        <w:rPr>
          <w:rFonts w:ascii="Calibri" w:cs="Calibri" w:eastAsia="Calibri" w:hAnsi="Calibri"/>
          <w:sz w:val="21"/>
          <w:szCs w:val="21"/>
        </w:rPr>
        <w:t xml:space="preserve"> only, being the Tenant named in this agreement. The Tenant must not permit any other person to reside at the Premises without the prior written consent of the Landlord. The Premises are to be used exclusively as a </w:t>
      </w:r>
      <w:r>
        <w:rPr>
          <w:rFonts w:ascii="Calibri" w:cs="Calibri" w:eastAsia="Calibri" w:hAnsi="Calibri"/>
          <w:b/>
          <w:bCs/>
          <w:sz w:val="21"/>
          <w:szCs w:val="21"/>
        </w:rPr>
        <w:t xml:space="preserve">private residential dwelling</w:t>
      </w:r>
      <w:r>
        <w:rPr>
          <w:rFonts w:ascii="Calibri" w:cs="Calibri" w:eastAsia="Calibri" w:hAnsi="Calibri"/>
          <w:sz w:val="21"/>
          <w:szCs w:val="21"/>
        </w:rPr>
        <w:t xml:space="preserve"> and must not be used for any commercial, industrial, or business purpose.</w:t>
      </w:r>
    </w:p>
    <w:p>
      <w:pPr>
        <w:spacing w:after="160" w:line="276"/>
        <w:jc w:val="both"/>
      </w:pPr>
      <w:r>
        <w:rPr>
          <w:rFonts w:ascii="Calibri" w:cs="Calibri" w:eastAsia="Calibri" w:hAnsi="Calibri"/>
          <w:sz w:val="21"/>
          <w:szCs w:val="21"/>
        </w:rPr>
        <w:t xml:space="preserve">The Tenant agrees to maintain the Premises in a reasonable state of cleanliness and repair throughout the tenancy, to comply with all applicable laws and by-laws, and to not cause or permit any nuisance or interference with the reasonable peace, comfort, or privacy of neighbours.</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PET POLICY</w:t>
      </w:r>
    </w:p>
    <w:p>
      <w:pPr>
        <w:spacing w:after="160" w:line="276"/>
        <w:jc w:val="both"/>
      </w:pPr>
      <w:r>
        <w:rPr>
          <w:rFonts w:ascii="Calibri" w:cs="Calibri" w:eastAsia="Calibri" w:hAnsi="Calibri"/>
          <w:b/>
          <w:bCs/>
          <w:sz w:val="21"/>
          <w:szCs w:val="21"/>
        </w:rPr>
        <w:t xml:space="preserve">Pets are not permitted</w:t>
      </w:r>
      <w:r>
        <w:rPr>
          <w:rFonts w:ascii="Calibri" w:cs="Calibri" w:eastAsia="Calibri" w:hAnsi="Calibri"/>
          <w:sz w:val="21"/>
          <w:szCs w:val="21"/>
        </w:rPr>
        <w:t xml:space="preserve"> at the Premises. Building by-laws strictly prohibit animals of any kind on the premises, including but not limited to dogs, cats, birds, and reptiles. The Tenant acknowledges this restriction and agrees to comply with the body corporate’s regulations regarding animals at all times.</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PARKING</w:t>
      </w:r>
    </w:p>
    <w:p>
      <w:pPr>
        <w:spacing w:after="160" w:line="276"/>
        <w:jc w:val="both"/>
      </w:pPr>
      <w:r>
        <w:rPr>
          <w:rFonts w:ascii="Calibri" w:cs="Calibri" w:eastAsia="Calibri" w:hAnsi="Calibri"/>
          <w:b/>
          <w:bCs/>
          <w:sz w:val="21"/>
          <w:szCs w:val="21"/>
        </w:rPr>
        <w:t xml:space="preserve">Parking is not included</w:t>
      </w:r>
      <w:r>
        <w:rPr>
          <w:rFonts w:ascii="Calibri" w:cs="Calibri" w:eastAsia="Calibri" w:hAnsi="Calibri"/>
          <w:sz w:val="21"/>
          <w:szCs w:val="21"/>
        </w:rPr>
        <w:t xml:space="preserve"> as part of this tenancy agreement. The Tenant is advised that street parking and public car parks are available in the vicinity of the Premises. Any parking arrangements are the sole responsibility of the Tenant and are not managed or guaranteed by the Landlord or the property manager.</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FURNISHED ITEMS</w:t>
      </w:r>
    </w:p>
    <w:p>
      <w:pPr>
        <w:spacing w:after="160" w:line="276"/>
        <w:jc w:val="both"/>
      </w:pPr>
      <w:r>
        <w:rPr>
          <w:rFonts w:ascii="Calibri" w:cs="Calibri" w:eastAsia="Calibri" w:hAnsi="Calibri"/>
          <w:sz w:val="21"/>
          <w:szCs w:val="21"/>
        </w:rPr>
        <w:t xml:space="preserve">The Premises are leased in a </w:t>
      </w:r>
      <w:r>
        <w:rPr>
          <w:rFonts w:ascii="Calibri" w:cs="Calibri" w:eastAsia="Calibri" w:hAnsi="Calibri"/>
          <w:b/>
          <w:bCs/>
          <w:sz w:val="21"/>
          <w:szCs w:val="21"/>
        </w:rPr>
        <w:t xml:space="preserve">furnished condition</w:t>
      </w:r>
      <w:r>
        <w:rPr>
          <w:rFonts w:ascii="Calibri" w:cs="Calibri" w:eastAsia="Calibri" w:hAnsi="Calibri"/>
          <w:sz w:val="21"/>
          <w:szCs w:val="21"/>
        </w:rPr>
        <w:t xml:space="preserve">. A detailed inventory of all provided furniture and appliances is attached as </w:t>
      </w:r>
      <w:r>
        <w:rPr>
          <w:rFonts w:ascii="Calibri" w:cs="Calibri" w:eastAsia="Calibri" w:hAnsi="Calibri"/>
          <w:b/>
          <w:bCs/>
          <w:sz w:val="21"/>
          <w:szCs w:val="21"/>
        </w:rPr>
        <w:t xml:space="preserve">Annexure A</w:t>
      </w:r>
      <w:r>
        <w:rPr>
          <w:rFonts w:ascii="Calibri" w:cs="Calibri" w:eastAsia="Calibri" w:hAnsi="Calibri"/>
          <w:sz w:val="21"/>
          <w:szCs w:val="21"/>
        </w:rPr>
        <w:t xml:space="preserve">. The following items are included at the commencement of the tenancy:</w:t>
      </w:r>
    </w:p>
    <w:p>
      <w:pPr>
        <w:pStyle w:val="ListParagraph"/>
        <w:numPr>
          <w:ilvl w:val="0"/>
          <w:numId w:val="1"/>
        </w:numPr>
        <w:spacing w:after="60" w:line="276"/>
      </w:pPr>
      <w:r>
        <w:rPr>
          <w:rFonts w:ascii="Calibri" w:cs="Calibri" w:eastAsia="Calibri" w:hAnsi="Calibri"/>
          <w:sz w:val="21"/>
          <w:szCs w:val="21"/>
        </w:rPr>
        <w:t xml:space="preserve">Refrigerator</w:t>
      </w:r>
    </w:p>
    <w:p>
      <w:pPr>
        <w:pStyle w:val="ListParagraph"/>
        <w:numPr>
          <w:ilvl w:val="0"/>
          <w:numId w:val="1"/>
        </w:numPr>
        <w:spacing w:after="60" w:line="276"/>
      </w:pPr>
      <w:r>
        <w:rPr>
          <w:rFonts w:ascii="Calibri" w:cs="Calibri" w:eastAsia="Calibri" w:hAnsi="Calibri"/>
          <w:sz w:val="21"/>
          <w:szCs w:val="21"/>
        </w:rPr>
        <w:t xml:space="preserve">Washing machine</w:t>
      </w:r>
    </w:p>
    <w:p>
      <w:pPr>
        <w:pStyle w:val="ListParagraph"/>
        <w:numPr>
          <w:ilvl w:val="0"/>
          <w:numId w:val="1"/>
        </w:numPr>
        <w:spacing w:after="60" w:line="276"/>
      </w:pPr>
      <w:r>
        <w:rPr>
          <w:rFonts w:ascii="Calibri" w:cs="Calibri" w:eastAsia="Calibri" w:hAnsi="Calibri"/>
          <w:sz w:val="21"/>
          <w:szCs w:val="21"/>
        </w:rPr>
        <w:t xml:space="preserve">Dryer</w:t>
      </w:r>
    </w:p>
    <w:p>
      <w:pPr>
        <w:pStyle w:val="ListParagraph"/>
        <w:numPr>
          <w:ilvl w:val="0"/>
          <w:numId w:val="1"/>
        </w:numPr>
        <w:spacing w:after="60" w:line="276"/>
      </w:pPr>
      <w:r>
        <w:rPr>
          <w:rFonts w:ascii="Calibri" w:cs="Calibri" w:eastAsia="Calibri" w:hAnsi="Calibri"/>
          <w:sz w:val="21"/>
          <w:szCs w:val="21"/>
        </w:rPr>
        <w:t xml:space="preserve">Sofa</w:t>
      </w:r>
    </w:p>
    <w:p>
      <w:pPr>
        <w:pStyle w:val="ListParagraph"/>
        <w:numPr>
          <w:ilvl w:val="0"/>
          <w:numId w:val="1"/>
        </w:numPr>
        <w:spacing w:after="60" w:line="276"/>
      </w:pPr>
      <w:r>
        <w:rPr>
          <w:rFonts w:ascii="Calibri" w:cs="Calibri" w:eastAsia="Calibri" w:hAnsi="Calibri"/>
          <w:sz w:val="21"/>
          <w:szCs w:val="21"/>
        </w:rPr>
        <w:t xml:space="preserve">Dining table with 4 chairs</w:t>
      </w:r>
    </w:p>
    <w:p>
      <w:pPr>
        <w:pStyle w:val="ListParagraph"/>
        <w:numPr>
          <w:ilvl w:val="0"/>
          <w:numId w:val="1"/>
        </w:numPr>
        <w:spacing w:after="60" w:line="276"/>
      </w:pPr>
      <w:r>
        <w:rPr>
          <w:rFonts w:ascii="Calibri" w:cs="Calibri" w:eastAsia="Calibri" w:hAnsi="Calibri"/>
          <w:sz w:val="21"/>
          <w:szCs w:val="21"/>
        </w:rPr>
        <w:t xml:space="preserve">Queen bed frame and mattress</w:t>
      </w:r>
    </w:p>
    <w:p>
      <w:pPr>
        <w:pStyle w:val="ListParagraph"/>
        <w:numPr>
          <w:ilvl w:val="0"/>
          <w:numId w:val="1"/>
        </w:numPr>
        <w:spacing w:after="60" w:line="276"/>
      </w:pPr>
      <w:r>
        <w:rPr>
          <w:rFonts w:ascii="Calibri" w:cs="Calibri" w:eastAsia="Calibri" w:hAnsi="Calibri"/>
          <w:sz w:val="21"/>
          <w:szCs w:val="21"/>
        </w:rPr>
        <w:t xml:space="preserve">Built-in wardrobes</w:t>
      </w:r>
    </w:p>
    <w:p>
      <w:pPr>
        <w:pStyle w:val="ListParagraph"/>
        <w:numPr>
          <w:ilvl w:val="0"/>
          <w:numId w:val="1"/>
        </w:numPr>
        <w:spacing w:after="60" w:line="276"/>
      </w:pPr>
      <w:r>
        <w:rPr>
          <w:rFonts w:ascii="Calibri" w:cs="Calibri" w:eastAsia="Calibri" w:hAnsi="Calibri"/>
          <w:sz w:val="21"/>
          <w:szCs w:val="21"/>
        </w:rPr>
        <w:t xml:space="preserve">Microwave</w:t>
      </w:r>
    </w:p>
    <w:p>
      <w:pPr>
        <w:pStyle w:val="ListParagraph"/>
        <w:numPr>
          <w:ilvl w:val="0"/>
          <w:numId w:val="1"/>
        </w:numPr>
        <w:spacing w:after="60" w:line="276"/>
      </w:pPr>
      <w:r>
        <w:rPr>
          <w:rFonts w:ascii="Calibri" w:cs="Calibri" w:eastAsia="Calibri" w:hAnsi="Calibri"/>
          <w:sz w:val="21"/>
          <w:szCs w:val="21"/>
        </w:rPr>
        <w:t xml:space="preserve">Dishwasher</w:t>
      </w:r>
    </w:p>
    <w:p>
      <w:pPr>
        <w:spacing w:before="120" w:after="160" w:line="276"/>
        <w:jc w:val="both"/>
      </w:pPr>
      <w:r>
        <w:rPr>
          <w:rFonts w:ascii="Calibri" w:cs="Calibri" w:eastAsia="Calibri" w:hAnsi="Calibri"/>
          <w:sz w:val="21"/>
          <w:szCs w:val="21"/>
        </w:rPr>
        <w:t xml:space="preserve">The Tenant is responsible for the care and maintenance of all furnished items during the tenancy. Any damage beyond normal wear and tear may be deducted from the bond at the conclusion of the lease.</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SPECIAL CONDITIONS</w:t>
      </w:r>
    </w:p>
    <w:p>
      <w:pPr>
        <w:spacing w:after="160" w:line="276"/>
        <w:jc w:val="both"/>
      </w:pPr>
      <w:r>
        <w:rPr>
          <w:rFonts w:ascii="Calibri" w:cs="Calibri" w:eastAsia="Calibri" w:hAnsi="Calibri"/>
          <w:sz w:val="21"/>
          <w:szCs w:val="21"/>
        </w:rPr>
        <w:t xml:space="preserve">The following special conditions form part of this agreement and are binding on both parties:</w:t>
      </w:r>
    </w:p>
    <w:p>
      <w:pPr>
        <w:spacing w:after="160" w:line="276"/>
        <w:jc w:val="both"/>
      </w:pPr>
      <w:r>
        <w:rPr>
          <w:rFonts w:ascii="Calibri" w:cs="Calibri" w:eastAsia="Calibri" w:hAnsi="Calibri"/>
          <w:b/>
          <w:bCs/>
          <w:sz w:val="21"/>
          <w:szCs w:val="21"/>
        </w:rPr>
        <w:t xml:space="preserve">Short-term rental prohibition. </w:t>
      </w:r>
      <w:r>
        <w:rPr>
          <w:rFonts w:ascii="Calibri" w:cs="Calibri" w:eastAsia="Calibri" w:hAnsi="Calibri"/>
          <w:sz w:val="21"/>
          <w:szCs w:val="21"/>
        </w:rPr>
        <w:t xml:space="preserve">The Tenant must not use the Premises for short-term rental or subletting purposes, including listing the Premises on platforms such as Airbnb, Stayz, or any similar accommodation service. Any breach of this condition shall constitute a serious breach of the tenancy agreement.</w:t>
      </w:r>
    </w:p>
    <w:p>
      <w:pPr>
        <w:spacing w:after="160" w:line="276"/>
        <w:jc w:val="both"/>
      </w:pPr>
      <w:r>
        <w:rPr>
          <w:rFonts w:ascii="Calibri" w:cs="Calibri" w:eastAsia="Calibri" w:hAnsi="Calibri"/>
          <w:b/>
          <w:bCs/>
          <w:sz w:val="21"/>
          <w:szCs w:val="21"/>
        </w:rPr>
        <w:t xml:space="preserve">Building amenities. </w:t>
      </w:r>
      <w:r>
        <w:rPr>
          <w:rFonts w:ascii="Calibri" w:cs="Calibri" w:eastAsia="Calibri" w:hAnsi="Calibri"/>
          <w:sz w:val="21"/>
          <w:szCs w:val="21"/>
        </w:rPr>
        <w:t xml:space="preserve">The Tenant is entitled to use the building’s shared amenities, including the gym, swimming pool, and rooftop terrace, subject to the body corporate rules and regulations as amended from time to time. Access to these facilities is provided at no additional cost but may be restricted or revoked in accordance with body corporate procedures.</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OBLIGATIONS</w:t>
      </w:r>
    </w:p>
    <w:p>
      <w:pPr>
        <w:spacing w:after="160" w:line="276"/>
        <w:jc w:val="both"/>
      </w:pPr>
      <w:r>
        <w:rPr>
          <w:rFonts w:ascii="Calibri" w:cs="Calibri" w:eastAsia="Calibri" w:hAnsi="Calibri"/>
          <w:b/>
          <w:bCs/>
          <w:sz w:val="21"/>
          <w:szCs w:val="21"/>
        </w:rPr>
        <w:t xml:space="preserve">Landlord obligations. </w:t>
      </w:r>
      <w:r>
        <w:rPr>
          <w:rFonts w:ascii="Calibri" w:cs="Calibri" w:eastAsia="Calibri" w:hAnsi="Calibri"/>
          <w:sz w:val="21"/>
          <w:szCs w:val="21"/>
        </w:rPr>
        <w:t xml:space="preserve">The Landlord shall ensure the Premises are maintained in good repair and in a condition fit for habitation. The Landlord shall comply with all obligations under the </w:t>
      </w:r>
      <w:r>
        <w:rPr>
          <w:rFonts w:ascii="Calibri" w:cs="Calibri" w:eastAsia="Calibri" w:hAnsi="Calibri"/>
          <w:i/>
          <w:iCs/>
          <w:sz w:val="21"/>
          <w:szCs w:val="21"/>
        </w:rPr>
        <w:t xml:space="preserve">Residential Tenancies Act 1997 (Vic)</w:t>
      </w:r>
      <w:r>
        <w:rPr>
          <w:rFonts w:ascii="Calibri" w:cs="Calibri" w:eastAsia="Calibri" w:hAnsi="Calibri"/>
          <w:sz w:val="21"/>
          <w:szCs w:val="21"/>
        </w:rPr>
        <w:t xml:space="preserve">, including providing quiet enjoyment of the Premises, maintaining the property in a reasonably secure condition, attending to urgent repairs within the timeframes prescribed by law, and ensuring all fixtures and fittings are in good working order at the commencement of the tenancy.</w:t>
      </w:r>
    </w:p>
    <w:p>
      <w:pPr>
        <w:spacing w:after="160" w:line="276"/>
        <w:jc w:val="both"/>
      </w:pPr>
      <w:r>
        <w:rPr>
          <w:rFonts w:ascii="Calibri" w:cs="Calibri" w:eastAsia="Calibri" w:hAnsi="Calibri"/>
          <w:b/>
          <w:bCs/>
          <w:sz w:val="21"/>
          <w:szCs w:val="21"/>
        </w:rPr>
        <w:t xml:space="preserve">Tenant obligations. </w:t>
      </w:r>
      <w:r>
        <w:rPr>
          <w:rFonts w:ascii="Calibri" w:cs="Calibri" w:eastAsia="Calibri" w:hAnsi="Calibri"/>
          <w:sz w:val="21"/>
          <w:szCs w:val="21"/>
        </w:rPr>
        <w:t xml:space="preserve">The Tenant shall pay rent punctually, keep the Premises reasonably clean, avoid causing damage to the property, promptly notify the Landlord or property manager of any defects or necessary repairs, and not make alterations to the Premises without prior written consent. The Tenant shall allow reasonable access to the Landlord or their agent for inspections, repairs, and valuations, in accordance with the notice requirements set out in the Act.</w:t>
      </w:r>
    </w:p>
    <w:p>
      <w:pPr>
        <w:spacing w:after="160" w:line="276"/>
        <w:jc w:val="both"/>
      </w:pPr>
      <w:r>
        <w:rPr>
          <w:rFonts w:ascii="Calibri" w:cs="Calibri" w:eastAsia="Calibri" w:hAnsi="Calibri"/>
          <w:b/>
          <w:bCs/>
          <w:sz w:val="21"/>
          <w:szCs w:val="21"/>
        </w:rPr>
        <w:t xml:space="preserve">End of tenancy. </w:t>
      </w:r>
      <w:r>
        <w:rPr>
          <w:rFonts w:ascii="Calibri" w:cs="Calibri" w:eastAsia="Calibri" w:hAnsi="Calibri"/>
          <w:sz w:val="21"/>
          <w:szCs w:val="21"/>
        </w:rPr>
        <w:t xml:space="preserve">Upon expiry or termination of this agreement, the Tenant shall vacate the Premises and return all keys and access devices. The Premises must be left in a condition consistent with normal wear and tear, having regard to the property condition report prepared at the commencement of the tenancy. A final inspection will be arranged by the property manager.</w:t>
      </w:r>
    </w:p>
    <w:p>
      <w:pPr>
        <w:pBdr>
          <w:bottom w:val="single" w:color="999999" w:sz="4" w:space="1"/>
        </w:pBdr>
        <w:spacing w:before="120" w:after="200"/>
      </w:pPr>
    </w:p>
    <w:p>
      <w:pPr>
        <w:spacing w:before="360" w:after="160"/>
      </w:pPr>
      <w:r>
        <w:rPr>
          <w:rFonts w:ascii="Calibri" w:cs="Calibri" w:eastAsia="Calibri" w:hAnsi="Calibri"/>
          <w:b/>
          <w:bCs/>
          <w:color w:val="1a1a1a"/>
          <w:sz w:val="26"/>
          <w:szCs w:val="26"/>
        </w:rPr>
        <w:t xml:space="preserve">EXECUTION</w:t>
      </w:r>
    </w:p>
    <w:p>
      <w:pPr>
        <w:spacing w:after="160" w:line="276"/>
        <w:jc w:val="both"/>
      </w:pPr>
      <w:r>
        <w:rPr>
          <w:rFonts w:ascii="Calibri" w:cs="Calibri" w:eastAsia="Calibri" w:hAnsi="Calibri"/>
          <w:sz w:val="21"/>
          <w:szCs w:val="21"/>
        </w:rPr>
        <w:t xml:space="preserve">By signing below, the parties acknowledge that they have read, understood, and agree to be bound by the terms and conditions set out in this Residential Tenancy Agreement.</w:t>
      </w:r>
    </w:p>
    <w:p>
      <w:pPr>
        <w:spacing w:before="480" w:after="0"/>
      </w:pPr>
    </w:p>
    <w:p>
      <w:pPr>
        <w:pBdr>
          <w:bottom w:val="single" w:color="333333" w:sz="2" w:space="1"/>
        </w:pBdr>
        <w:spacing w:after="0"/>
      </w:pPr>
      <w:r>
        <w:rPr>
          <w:rFonts w:ascii="Calibri" w:cs="Calibri" w:eastAsia="Calibri" w:hAnsi="Calibri"/>
          <w:sz w:val="21"/>
          <w:szCs w:val="21"/>
        </w:rPr>
        <w:t xml:space="preserve"/>
      </w:r>
    </w:p>
    <w:p>
      <w:pPr>
        <w:spacing w:after="40" w:line="276"/>
        <w:jc w:val="both"/>
      </w:pPr>
      <w:r>
        <w:rPr>
          <w:rFonts w:ascii="Calibri" w:cs="Calibri" w:eastAsia="Calibri" w:hAnsi="Calibri"/>
          <w:b/>
          <w:bCs/>
          <w:sz w:val="21"/>
          <w:szCs w:val="21"/>
        </w:rPr>
        <w:t xml:space="preserve">Landlord</w:t>
      </w:r>
      <w:r>
        <w:rPr>
          <w:rFonts w:ascii="Calibri" w:cs="Calibri" w:eastAsia="Calibri" w:hAnsi="Calibri"/>
          <w:sz w:val="21"/>
          <w:szCs w:val="21"/>
        </w:rPr>
        <w:t xml:space="preserve">: Gregory Tan</w:t>
      </w:r>
    </w:p>
    <w:p>
      <w:pPr>
        <w:spacing w:after="0" w:line="276"/>
        <w:jc w:val="both"/>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w:t>
      </w:r>
    </w:p>
    <w:p>
      <w:pPr>
        <w:spacing w:before="480" w:after="0"/>
      </w:pPr>
    </w:p>
    <w:p>
      <w:pPr>
        <w:pBdr>
          <w:bottom w:val="single" w:color="333333" w:sz="2" w:space="1"/>
        </w:pBdr>
        <w:spacing w:after="0"/>
      </w:pPr>
      <w:r>
        <w:rPr>
          <w:rFonts w:ascii="Calibri" w:cs="Calibri" w:eastAsia="Calibri" w:hAnsi="Calibri"/>
          <w:sz w:val="21"/>
          <w:szCs w:val="21"/>
        </w:rPr>
        <w:t xml:space="preserve"/>
      </w:r>
    </w:p>
    <w:p>
      <w:pPr>
        <w:spacing w:after="40" w:line="276"/>
        <w:jc w:val="both"/>
      </w:pPr>
      <w:r>
        <w:rPr>
          <w:rFonts w:ascii="Calibri" w:cs="Calibri" w:eastAsia="Calibri" w:hAnsi="Calibri"/>
          <w:b/>
          <w:bCs/>
          <w:sz w:val="21"/>
          <w:szCs w:val="21"/>
        </w:rPr>
        <w:t xml:space="preserve">Tenant</w:t>
      </w:r>
      <w:r>
        <w:rPr>
          <w:rFonts w:ascii="Calibri" w:cs="Calibri" w:eastAsia="Calibri" w:hAnsi="Calibri"/>
          <w:sz w:val="21"/>
          <w:szCs w:val="21"/>
        </w:rPr>
        <w:t xml:space="preserve">: Emma Whitfield</w:t>
      </w:r>
    </w:p>
    <w:p>
      <w:pPr>
        <w:spacing w:after="0" w:line="276"/>
        <w:jc w:val="both"/>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w:t>
      </w:r>
    </w:p>
    <w:p>
      <w:pPr>
        <w:spacing w:before="480" w:after="0"/>
      </w:pPr>
    </w:p>
    <w:p>
      <w:pPr>
        <w:pBdr>
          <w:bottom w:val="single" w:color="333333" w:sz="2" w:space="1"/>
        </w:pBdr>
        <w:spacing w:after="0"/>
      </w:pPr>
      <w:r>
        <w:rPr>
          <w:rFonts w:ascii="Calibri" w:cs="Calibri" w:eastAsia="Calibri" w:hAnsi="Calibri"/>
          <w:sz w:val="21"/>
          <w:szCs w:val="21"/>
        </w:rPr>
        <w:t xml:space="preserve"/>
      </w:r>
    </w:p>
    <w:p>
      <w:pPr>
        <w:spacing w:after="40" w:line="276"/>
        <w:jc w:val="both"/>
      </w:pPr>
      <w:r>
        <w:rPr>
          <w:rFonts w:ascii="Calibri" w:cs="Calibri" w:eastAsia="Calibri" w:hAnsi="Calibri"/>
          <w:b/>
          <w:bCs/>
          <w:sz w:val="21"/>
          <w:szCs w:val="21"/>
        </w:rPr>
        <w:t xml:space="preserve">Property Manager</w:t>
      </w:r>
      <w:r>
        <w:rPr>
          <w:rFonts w:ascii="Calibri" w:cs="Calibri" w:eastAsia="Calibri" w:hAnsi="Calibri"/>
          <w:sz w:val="21"/>
          <w:szCs w:val="21"/>
        </w:rPr>
        <w:t xml:space="preserve">: Julia Torres, Acme Property Group</w:t>
      </w:r>
    </w:p>
    <w:p>
      <w:pPr>
        <w:spacing w:after="0" w:line="276"/>
        <w:jc w:val="both"/>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sz w:val="21"/>
      <w:szCs w:val="21"/>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2026-02-25T03:38:54.205Z</dcterms:created>
  <dcterms:modified xsi:type="dcterms:W3CDTF">2026-02-25T03:38:54.205Z</dcterms:modified>
</cp:coreProperties>
</file>

<file path=docProps/custom.xml><?xml version="1.0" encoding="utf-8"?>
<Properties xmlns="http://schemas.openxmlformats.org/officeDocument/2006/custom-properties" xmlns:vt="http://schemas.openxmlformats.org/officeDocument/2006/docPropsVTypes"/>
</file>