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000000"/>
          <w:sz w:val="40"/>
          <w:szCs w:val="40"/>
          <w:rtl w:val="0"/>
        </w:rPr>
        <w:t xml:space="preserve">RESIDENTIAL TENANCY 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color w:val="999999"/>
          <w:sz w:val="28"/>
          <w:szCs w:val="28"/>
          <w:rtl w:val="0"/>
        </w:rPr>
        <w:t xml:space="preserve">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Property Address: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   33 Victoria Crescent, Flat 12A, St Kilda VIC 3182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Landlord: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   Anita Desmond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Tenant: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   Raj Patel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Date of Agreement: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   1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color w:val="666666"/>
          <w:sz w:val="20"/>
          <w:szCs w:val="20"/>
          <w:rtl w:val="0"/>
        </w:rPr>
        <w:t xml:space="preserve">Prepared by: Acme Property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color w:val="666666"/>
          <w:sz w:val="20"/>
          <w:szCs w:val="20"/>
          <w:rtl w:val="0"/>
        </w:rPr>
        <w:t xml:space="preserve">Contact: Julia Torres | julia.torres@acmepg.com.au | +61 3 9555 0142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before="360" w:lineRule="auto"/>
        <w:jc w:val="left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color w:val="000000"/>
          <w:sz w:val="28"/>
          <w:szCs w:val="28"/>
          <w:u w:val="single"/>
          <w:rtl w:val="0"/>
        </w:rPr>
        <w:t xml:space="preserve">Part A — Particulars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0" w:lineRule="auto"/>
        <w:jc w:val="both"/>
        <w:rPr/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The following particulars form part of this Residential Tenancy Agreement and are to be read in conjunction with the Terms and Conditions set out in Part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gridCol w:w="100"/>
        <w:tblGridChange w:id="0">
          <w:tblGrid>
            <w:gridCol w:w="100"/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Landlord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Anita Desmond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Property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Acme Property GroupContact: Julia Torresjulia.torres@acmepg.com.au+61 3 9555 0142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Tenant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Raj Patel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Premises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33 Victoria Crescent, Flat 12ASt Kilda VIC 3182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Twelve (12) months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Commencement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1 April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Expiry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31 March 2027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$1,150.00 AUD per fortnight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Rent Payment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Fortnightly, in advance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Bond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$4,983.34 AUD (equivalent to 4 weeks rent)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Maximum Occupants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Two (2)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Not permitted without prior written consent of the landlord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Parking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Georgia" w:cs="Georgia" w:eastAsia="Georgia" w:hAnsi="Georgia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One (1) designated car parking spaceBasement Level 1, Space #47Access via remote-controlled gateOne parking fob provided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jc w:val="center"/>
      <w:rPr/>
    </w:pPr>
    <w:r w:rsidDel="00000000" w:rsidR="00000000" w:rsidRPr="00000000">
      <w:rPr>
        <w:rFonts w:ascii="Georgia" w:cs="Georgia" w:eastAsia="Georgia" w:hAnsi="Georgia"/>
        <w:b w:val="0"/>
        <w:bCs w:val="0"/>
        <w:i w:val="0"/>
        <w:iCs w:val="0"/>
        <w:color w:val="888888"/>
        <w:sz w:val="16"/>
        <w:szCs w:val="16"/>
        <w:rtl w:val="0"/>
      </w:rPr>
      <w:t xml:space="preserve">Page </w:t>
    </w:r>
    <w:r w:rsidDel="00000000" w:rsidR="00000000" w:rsidRPr="00000000">
      <w:rPr>
        <w:rFonts w:ascii="Georgia" w:cs="Georgia" w:eastAsia="Georgia" w:hAnsi="Georgia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jc w:val="right"/>
      <w:rPr/>
    </w:pPr>
    <w:r w:rsidDel="00000000" w:rsidR="00000000" w:rsidRPr="00000000">
      <w:rPr>
        <w:rFonts w:ascii="Georgia" w:cs="Georgia" w:eastAsia="Georgia" w:hAnsi="Georgia"/>
        <w:b w:val="0"/>
        <w:bCs w:val="0"/>
        <w:i w:val="1"/>
        <w:iCs w:val="1"/>
        <w:color w:val="888888"/>
        <w:sz w:val="16"/>
        <w:szCs w:val="16"/>
        <w:rtl w:val="0"/>
      </w:rPr>
      <w:t xml:space="preserve">Residential Tenancy Agreement — 33 Victoria Crescent, Flat 12A, St Kilda VIC 3182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s6cqo0hpv5/6eQBH4RSlU50wFA==">CgMxLjA4AHIhMXczTDhxMnU2NmpZYmhEbDYycjBGcnQ5c3hncGRveTJ3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2026-02-25T03:41:31.975Z</dcterms:created>
  <dc:creator>Acme Property Group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