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F4E79"/>
          <w:sz w:val="48"/>
        </w:rPr>
        <w:t>DATA SCIENCE FUNDAMENTALS ASSESSMENT</w:t>
      </w:r>
    </w:p>
    <w:p>
      <w:pPr>
        <w:spacing w:after="960"/>
        <w:jc w:val="center"/>
      </w:pPr>
      <w:r>
        <w:rPr>
          <w:i/>
          <w:sz w:val="28"/>
        </w:rPr>
        <w:t>E-Commerce Sales Performance Analysis Project Report</w:t>
      </w:r>
    </w:p>
    <w:p>
      <w:pPr>
        <w:spacing w:before="2000"/>
        <w:jc w:val="left"/>
      </w:pPr>
      <w:r>
        <w:rPr>
          <w:b/>
        </w:rPr>
        <w:t>**Submission Context:** Data Science Internship Placement</w:t>
        <w:br/>
      </w:r>
      <w:r>
        <w:t>**Author:** Internship Candidate</w:t>
        <w:br/>
      </w:r>
      <w:r>
        <w:t>**Technologies Used:** Python, Pandas, NumPy, Word Document API</w:t>
        <w:br/>
      </w:r>
      <w:r>
        <w:t>**Project Repository:** https://github.com/internship-candidate/ds-fundamentals-assessment</w:t>
        <w:br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1. Understanding the Dataset &amp; Business Context</w:t>
      </w:r>
    </w:p>
    <w:p>
      <w:pPr>
        <w:spacing w:after="240"/>
      </w:pPr>
      <w:r>
        <w:t>This project utilizes a real-world structured **E-Commerce Retail Sales Dataset** containing historical transactional records. The primary objective is to evaluate transactional structures, clean anomalies, compute foundational descriptive statistics, and isolate performance drivers across distinct retail categories to support data-driven business decisions.</w:t>
      </w:r>
    </w:p>
    <w:p>
      <w:pPr>
        <w:pStyle w:val="Heading2"/>
        <w:spacing w:before="240" w:after="120"/>
      </w:pPr>
      <w:r>
        <w:rPr>
          <w:rFonts w:ascii="Arial" w:hAnsi="Arial"/>
          <w:color w:val="595959"/>
          <w:sz w:val="28"/>
        </w:rPr>
        <w:t>Dataset Structural Profile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Column Name</w:t>
            </w:r>
          </w:p>
        </w:tc>
        <w:tc>
          <w:tcPr>
            <w:tcW w:type="dxa" w:w="3120"/>
          </w:tcPr>
          <w:p>
            <w:r>
              <w:t>Data Type</w:t>
            </w:r>
          </w:p>
        </w:tc>
        <w:tc>
          <w:tcPr>
            <w:tcW w:type="dxa" w:w="3120"/>
          </w:tcPr>
          <w:p>
            <w:r>
              <w:t>Business Context Description</w:t>
            </w:r>
          </w:p>
        </w:tc>
      </w:tr>
      <w:tr>
        <w:tc>
          <w:tcPr>
            <w:tcW w:type="dxa" w:w="3120"/>
          </w:tcPr>
          <w:p>
            <w:r>
              <w:t>Transaction_ID</w:t>
            </w:r>
          </w:p>
        </w:tc>
        <w:tc>
          <w:tcPr>
            <w:tcW w:type="dxa" w:w="3120"/>
          </w:tcPr>
          <w:p>
            <w:r>
              <w:t>Object / String</w:t>
            </w:r>
          </w:p>
        </w:tc>
        <w:tc>
          <w:tcPr>
            <w:tcW w:type="dxa" w:w="3120"/>
          </w:tcPr>
          <w:p>
            <w:r>
              <w:t>Unique identification alphanumeric string for each customer order row.</w:t>
            </w:r>
          </w:p>
        </w:tc>
      </w:tr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DateTime</w:t>
            </w:r>
          </w:p>
        </w:tc>
        <w:tc>
          <w:tcPr>
            <w:tcW w:type="dxa" w:w="3120"/>
          </w:tcPr>
          <w:p>
            <w:r>
              <w:t>Calendar date when the purchase transaction occurred.</w:t>
            </w:r>
          </w:p>
        </w:tc>
      </w:tr>
      <w:tr>
        <w:tc>
          <w:tcPr>
            <w:tcW w:type="dxa" w:w="3120"/>
          </w:tcPr>
          <w:p>
            <w:r>
              <w:t>Product_Category</w:t>
            </w:r>
          </w:p>
        </w:tc>
        <w:tc>
          <w:tcPr>
            <w:tcW w:type="dxa" w:w="3120"/>
          </w:tcPr>
          <w:p>
            <w:r>
              <w:t>Categorical / Object</w:t>
            </w:r>
          </w:p>
        </w:tc>
        <w:tc>
          <w:tcPr>
            <w:tcW w:type="dxa" w:w="3120"/>
          </w:tcPr>
          <w:p>
            <w:r>
              <w:t>Macro retail classification group (e.g., Electronics, Clothing, Books).</w:t>
            </w:r>
          </w:p>
        </w:tc>
      </w:tr>
      <w:tr>
        <w:tc>
          <w:tcPr>
            <w:tcW w:type="dxa" w:w="3120"/>
          </w:tcPr>
          <w:p>
            <w:r>
              <w:t>Units_Sold</w:t>
            </w:r>
          </w:p>
        </w:tc>
        <w:tc>
          <w:tcPr>
            <w:tcW w:type="dxa" w:w="3120"/>
          </w:tcPr>
          <w:p>
            <w:r>
              <w:t>Integer (Numeric)</w:t>
            </w:r>
          </w:p>
        </w:tc>
        <w:tc>
          <w:tcPr>
            <w:tcW w:type="dxa" w:w="3120"/>
          </w:tcPr>
          <w:p>
            <w:r>
              <w:t>Total distinct item counts purchased within the specific transaction line item.</w:t>
            </w:r>
          </w:p>
        </w:tc>
      </w:tr>
      <w:tr>
        <w:tc>
          <w:tcPr>
            <w:tcW w:type="dxa" w:w="3120"/>
          </w:tcPr>
          <w:p>
            <w:r>
              <w:t>Unit_Price</w:t>
            </w:r>
          </w:p>
        </w:tc>
        <w:tc>
          <w:tcPr>
            <w:tcW w:type="dxa" w:w="3120"/>
          </w:tcPr>
          <w:p>
            <w:r>
              <w:t>Float (Numeric)</w:t>
            </w:r>
          </w:p>
        </w:tc>
        <w:tc>
          <w:tcPr>
            <w:tcW w:type="dxa" w:w="3120"/>
          </w:tcPr>
          <w:p>
            <w:r>
              <w:t>Individual item value denominated in domestic currency units.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2. Python &amp; Library Implementation Framework</w:t>
      </w:r>
    </w:p>
    <w:p>
      <w:r>
        <w:t>The analytical workflow is programmatically structured inside an enterprise-grade environment using professional libraries. The core execution framework uses standard industry toolkits:</w:t>
      </w:r>
    </w:p>
    <w:p>
      <w:pPr>
        <w:pStyle w:val="ListBullet"/>
      </w:pPr>
      <w:r>
        <w:t>• NumPy: Applied for efficient multi-dimensional array vectorization, statistical distributions, and NaN representations.</w:t>
      </w:r>
    </w:p>
    <w:p>
      <w:pPr>
        <w:pStyle w:val="ListBullet"/>
      </w:pPr>
      <w:r>
        <w:t>• Pandas: Configured for tabular DataFrame operations, structural missing record tracking, multi-index aggregation, and structural mutations.</w:t>
      </w:r>
    </w:p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3. Data Cleaning &amp; Preserved Integrity Workflow</w:t>
      </w:r>
    </w:p>
    <w:p>
      <w:r>
        <w:t>Before executing calculations, data validation pipelines were run to clean the raw structural inputs:</w:t>
      </w:r>
    </w:p>
    <w:p>
      <w:pPr>
        <w:pStyle w:val="ListNumber"/>
      </w:pPr>
      <w:r>
        <w:t>1. Deduplication: Identified identical combinations across primary indices. Structural duplicate counts (2 rows) were dropped systematically.</w:t>
      </w:r>
    </w:p>
    <w:p>
      <w:pPr>
        <w:pStyle w:val="ListNumber"/>
      </w:pPr>
      <w:r>
        <w:t>2. Missing Value Imputation: Structural omissions identified in Customer_Rating were resolved using regional mode imputation. Missing elements in numerical arrays (Units_Sold) were handled via median value replacement.</w:t>
      </w:r>
    </w:p>
    <w:p>
      <w:pPr>
        <w:pStyle w:val="ListNumber"/>
      </w:pPr>
      <w:r>
        <w:t>3. Feature Engineering: Added 'Total_Revenue' calculated mathematically as (Units_Sold × Unit_Price) to measure financial performance directly.</w:t>
      </w:r>
    </w:p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4. Foundational Statistical Analysis</w:t>
      </w:r>
    </w:p>
    <w:p>
      <w:r>
        <w:t>Descriptive mathematical metrics were generated directly from the sanitized distribution array to isolate central tendencies and spread dynamics: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Statistical Metric</w:t>
            </w:r>
          </w:p>
        </w:tc>
        <w:tc>
          <w:tcPr>
            <w:tcW w:type="dxa" w:w="4680"/>
          </w:tcPr>
          <w:p>
            <w:r>
              <w:t>Computed Revenue Output Value (USD / Base Units)</w:t>
            </w:r>
          </w:p>
        </w:tc>
      </w:tr>
      <w:tr>
        <w:tc>
          <w:tcPr>
            <w:tcW w:type="dxa" w:w="4680"/>
          </w:tcPr>
          <w:p>
            <w:r>
              <w:t>Mean Revenue per Transaction</w:t>
            </w:r>
          </w:p>
        </w:tc>
        <w:tc>
          <w:tcPr>
            <w:tcW w:type="dxa" w:w="4680"/>
          </w:tcPr>
          <w:p>
            <w:r>
              <w:t>$440.76</w:t>
            </w:r>
          </w:p>
        </w:tc>
      </w:tr>
      <w:tr>
        <w:tc>
          <w:tcPr>
            <w:tcW w:type="dxa" w:w="4680"/>
          </w:tcPr>
          <w:p>
            <w:r>
              <w:t>Median Revenue per Transaction</w:t>
            </w:r>
          </w:p>
        </w:tc>
        <w:tc>
          <w:tcPr>
            <w:tcW w:type="dxa" w:w="4680"/>
          </w:tcPr>
          <w:p>
            <w:r>
              <w:t>$175.00</w:t>
            </w:r>
          </w:p>
        </w:tc>
      </w:tr>
      <w:tr>
        <w:tc>
          <w:tcPr>
            <w:tcW w:type="dxa" w:w="4680"/>
          </w:tcPr>
          <w:p>
            <w:r>
              <w:t>Standard Deviation (Volatility)</w:t>
            </w:r>
          </w:p>
        </w:tc>
        <w:tc>
          <w:tcPr>
            <w:tcW w:type="dxa" w:w="4680"/>
          </w:tcPr>
          <w:p>
            <w:r>
              <w:t>$584.06</w:t>
            </w:r>
          </w:p>
        </w:tc>
      </w:tr>
      <w:tr>
        <w:tc>
          <w:tcPr>
            <w:tcW w:type="dxa" w:w="4680"/>
          </w:tcPr>
          <w:p>
            <w:r>
              <w:t>Total Aggregate Dataset Sales</w:t>
            </w:r>
          </w:p>
        </w:tc>
        <w:tc>
          <w:tcPr>
            <w:tcW w:type="dxa" w:w="4680"/>
          </w:tcPr>
          <w:p>
            <w:r>
              <w:t>$88152.00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5. Exploratory Data Analysis &amp; Insights</w:t>
      </w:r>
    </w:p>
    <w:p>
      <w:r>
        <w:t>Categorical cross-tabulations highlight distinct operational dynamics across product groups. The distribution metrics across specific vertical lines are structured below: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Product Category Name</w:t>
            </w:r>
          </w:p>
        </w:tc>
        <w:tc>
          <w:tcPr>
            <w:tcW w:type="dxa" w:w="4680"/>
          </w:tcPr>
          <w:p>
            <w:r>
              <w:t>Aggregated Sector Revenue</w:t>
            </w:r>
          </w:p>
        </w:tc>
      </w:tr>
      <w:tr>
        <w:tc>
          <w:tcPr>
            <w:tcW w:type="dxa" w:w="4680"/>
          </w:tcPr>
          <w:p>
            <w:r>
              <w:t>Books</w:t>
            </w:r>
          </w:p>
        </w:tc>
        <w:tc>
          <w:tcPr>
            <w:tcW w:type="dxa" w:w="4680"/>
          </w:tcPr>
          <w:p>
            <w:r>
              <w:t>$10401.00</w:t>
            </w:r>
          </w:p>
        </w:tc>
      </w:tr>
      <w:tr>
        <w:tc>
          <w:tcPr>
            <w:tcW w:type="dxa" w:w="4680"/>
          </w:tcPr>
          <w:p>
            <w:r>
              <w:t>Clothing</w:t>
            </w:r>
          </w:p>
        </w:tc>
        <w:tc>
          <w:tcPr>
            <w:tcW w:type="dxa" w:w="4680"/>
          </w:tcPr>
          <w:p>
            <w:r>
              <w:t>$32341.00</w:t>
            </w:r>
          </w:p>
        </w:tc>
      </w:tr>
      <w:tr>
        <w:tc>
          <w:tcPr>
            <w:tcW w:type="dxa" w:w="4680"/>
          </w:tcPr>
          <w:p>
            <w:r>
              <w:t>Electronics</w:t>
            </w:r>
          </w:p>
        </w:tc>
        <w:tc>
          <w:tcPr>
            <w:tcW w:type="dxa" w:w="4680"/>
          </w:tcPr>
          <w:p>
            <w:r>
              <w:t>$31006.00</w:t>
            </w:r>
          </w:p>
        </w:tc>
      </w:tr>
      <w:tr>
        <w:tc>
          <w:tcPr>
            <w:tcW w:type="dxa" w:w="4680"/>
          </w:tcPr>
          <w:p>
            <w:r>
              <w:t>Home &amp; Kitchen</w:t>
            </w:r>
          </w:p>
        </w:tc>
        <w:tc>
          <w:tcPr>
            <w:tcW w:type="dxa" w:w="4680"/>
          </w:tcPr>
          <w:p>
            <w:r>
              <w:t>$14404.00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color w:val="1F4E79"/>
          <w:sz w:val="36"/>
        </w:rPr>
        <w:t>6. Project Conclusions &amp; Recommendations</w:t>
      </w:r>
    </w:p>
    <w:p>
      <w:r>
        <w:t>Based on the analytical outputs, the following core conclusions are established to maximize performance:</w:t>
        <w:br/>
        <w:br/>
        <w:t>• Operational Focus: Strategic resources should favor high-velocity product categories where structural ticket averages are consistently elevated.</w:t>
        <w:br/>
        <w:t>• Data Governance: Future inventory cycles should include system-level input validation constraints to avoid structural empty properties and preserve analytical clarity.</w:t>
      </w:r>
    </w:p>
    <w:p>
      <w:pPr>
        <w:spacing w:before="480"/>
      </w:pPr>
      <w:r>
        <w:rPr>
          <w:i/>
          <w:sz w:val="17"/>
        </w:rPr>
        <w:t>Disclaimer: This project report is generated systematically as a complete artifact for internship portfolio assessment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