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1F4E78"/>
          <w:sz w:val="52"/>
        </w:rPr>
        <w:t>HR Analytics Project Report</w:t>
      </w:r>
    </w:p>
    <w:p>
      <w:pPr>
        <w:spacing w:after="480"/>
        <w:jc w:val="center"/>
      </w:pPr>
      <w:r>
        <w:rPr>
          <w:i/>
          <w:color w:val="595959"/>
          <w:sz w:val="26"/>
        </w:rPr>
        <w:t>An End-to-End Enterprise Solution for Data-Driven Employee Retention Frameworks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1. Executive Summary</w:t>
      </w:r>
    </w:p>
    <w:p>
      <w:pPr>
        <w:spacing w:after="120" w:line="276" w:lineRule="auto"/>
      </w:pPr>
      <w:r>
        <w:rPr>
          <w:b w:val="0"/>
        </w:rPr>
        <w:t>Modern enterprise structures face a significant operational challenge: employee attrition and talent draining. Replacing specialized human capital causes high administrative recruitment expenditures and structural productivity drops. This blueprint provides a hands-on, step-by-step look at an end-to-end data processing workflow designed to isolate variables linked to worker flight risks.</w:t>
      </w:r>
    </w:p>
    <w:p>
      <w:pPr>
        <w:spacing w:after="120" w:line="276" w:lineRule="auto"/>
      </w:pPr>
      <w:r>
        <w:rPr>
          <w:b w:val="0"/>
        </w:rPr>
        <w:t>Instead of utilizing optimized or idealized datasets, this document models the entire real-world workspace paradigm. We start with a fragmented, raw datastore plagued with entry errors, mismatched types, case fluctuations, and missing information fields. By constructing an automated Python clearing pipeline, we transform this raw operational data into high-integrity datasets fit for exploratory analysis and targeted visualizations.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2. Workspace Sandbox Configuration</w:t>
      </w:r>
    </w:p>
    <w:p>
      <w:pPr>
        <w:spacing w:after="120" w:line="276" w:lineRule="auto"/>
      </w:pPr>
      <w:r>
        <w:rPr>
          <w:b w:val="0"/>
        </w:rPr>
        <w:t>To establish an isolated workspace, our script sets up reliable library dependencies (Pandas, NumPy, Matplotlib, and Seaborn) and configures explicit visual interfaces to maintain clean graphic outputs across enterprise platforms.</w:t>
      </w:r>
    </w:p>
    <w:p>
      <w:pPr>
        <w:spacing w:after="80" w:before="80"/>
        <w:ind w:left="360"/>
        <w:pBdr>
          <w:left w:val="single" w:sz="24" w:space="4" w:color="A0A0A0"/>
        </w:pBdr>
        <w:shd w:fill="F5F5F5"/>
      </w:pPr>
      <w:r>
        <w:rPr>
          <w:rFonts w:ascii="Consolas" w:hAnsi="Consolas"/>
          <w:color w:val="000000"/>
          <w:sz w:val="19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# Configure uniform plot styles and figure bounds</w:t>
        <w:br/>
        <w:t>sns.set_theme(style='whitegrid')</w:t>
        <w:br/>
        <w:t>plt.rcParams['figure.figsize'] = (6.5, 4.0)</w:t>
        <w:br/>
        <w:t>plt.rcParams['font.size'] = 10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3. Raw Data Generation &amp; Operational Messiness</w:t>
      </w:r>
    </w:p>
    <w:p>
      <w:pPr>
        <w:spacing w:after="120" w:line="276" w:lineRule="auto"/>
      </w:pPr>
      <w:r>
        <w:rPr>
          <w:b w:val="0"/>
        </w:rPr>
        <w:t>To closely simulate data analyst scenarios, the script below creates an tracking datastore with intentional human errors, missing metrics, and deep behavioral correlations.</w:t>
      </w:r>
    </w:p>
    <w:p>
      <w:pPr>
        <w:spacing w:after="80" w:before="80"/>
        <w:ind w:left="360"/>
        <w:pBdr>
          <w:left w:val="single" w:sz="24" w:space="4" w:color="A0A0A0"/>
        </w:pBdr>
        <w:shd w:fill="F5F5F5"/>
      </w:pPr>
      <w:r>
        <w:rPr>
          <w:rFonts w:ascii="Consolas" w:hAnsi="Consolas"/>
          <w:color w:val="000000"/>
          <w:sz w:val="19"/>
        </w:rPr>
        <w:t>np.random.seed(42)</w:t>
        <w:br/>
        <w:t>n_samples = 250</w:t>
        <w:br/>
        <w:t>depts = ['Engineering', 'Eng', 'Sales', 'sales', 'Operations', 'Marketing', 'HR', 'Hr', None]</w:t>
        <w:br/>
        <w:t>dept_probs = [0.3, 0.05, 0.25, 0.05, 0.15, 0.1, 0.05, 0.03, 0.02]</w:t>
        <w:br/>
        <w:br/>
        <w:t>raw_data = {</w:t>
        <w:br/>
        <w:t xml:space="preserve">    'Employee_ID': [f'EMP{1000+i}' for i in range(n_samples)],</w:t>
        <w:br/>
        <w:t xml:space="preserve">    'Department': np.random.choice(depts, p=dept_probs, size=n_samples),</w:t>
        <w:br/>
        <w:t xml:space="preserve">    'Salary': np.random.normal(loc=65000, scale=20000, size=n_samples),</w:t>
        <w:br/>
        <w:t xml:space="preserve">    'Performance_Score': np.random.choice([1, 2, 3, 4, 5], p=[0.1, 0.15, 0.45, 0.2, 0.1], size=n_samples),</w:t>
        <w:br/>
        <w:t xml:space="preserve">    'Turnover': np.zeros(n_samples, dtype=int)</w:t>
        <w:br/>
        <w:t>}</w:t>
        <w:br/>
        <w:t>df_raw = pd.DataFrame(raw_data)</w:t>
        <w:br/>
        <w:br/>
        <w:t># Inject null rows, text abnormalities, and attrition trends</w:t>
        <w:br/>
        <w:t>df_raw.loc[np.random.choice(n_samples, 15, replace=False), 'Salary'] = np.nan</w:t>
        <w:br/>
        <w:t>df_raw.loc[np.random.choice(n_samples, 10, replace=False), 'Performance_Score'] = np.nan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4. Automated Data Cleaning Pipeline</w:t>
      </w:r>
    </w:p>
    <w:p>
      <w:pPr>
        <w:spacing w:after="120" w:line="276" w:lineRule="auto"/>
      </w:pPr>
      <w:r>
        <w:rPr>
          <w:b w:val="0"/>
        </w:rPr>
        <w:t>The automated clearing function processes these data structural anomalies. It normalizes text case variations, fills missing compensation records with group-level medians, and infers qualitative indicators via statistical operational mode methods.</w:t>
      </w:r>
    </w:p>
    <w:p>
      <w:pPr>
        <w:spacing w:after="80" w:before="80"/>
        <w:ind w:left="360"/>
        <w:pBdr>
          <w:left w:val="single" w:sz="24" w:space="4" w:color="A0A0A0"/>
        </w:pBdr>
        <w:shd w:fill="F5F5F5"/>
      </w:pPr>
      <w:r>
        <w:rPr>
          <w:rFonts w:ascii="Consolas" w:hAnsi="Consolas"/>
          <w:color w:val="000000"/>
          <w:sz w:val="19"/>
        </w:rPr>
        <w:t>def execute_cleaning_pipeline(df_input):</w:t>
        <w:br/>
        <w:t xml:space="preserve">    df = df_input.copy()</w:t>
        <w:br/>
        <w:t xml:space="preserve">    # Step A: Regularize department names</w:t>
        <w:br/>
        <w:t xml:space="preserve">    df['Department'] = df['Department'].fillna('Unknown').str.strip().str.title()</w:t>
        <w:br/>
        <w:t xml:space="preserve">    df['Department'] = df['Department'].replace({'Eng': 'Engineering', 'Hr': 'HR'})</w:t>
        <w:br/>
        <w:br/>
        <w:t xml:space="preserve">    # Step B: Impute missing salaries via statistical median</w:t>
        <w:br/>
        <w:t xml:space="preserve">    df['Salary'] = df['Salary'].fillna(df['Salary'].median())</w:t>
        <w:br/>
        <w:br/>
        <w:t xml:space="preserve">    # Step C: Fill performance metrics via operational mode</w:t>
        <w:br/>
        <w:t xml:space="preserve">    mode_val = df['Performance_Score'].mode()[0]</w:t>
        <w:br/>
        <w:t xml:space="preserve">    df['Performance_Score'] = df['Performance_Score'].fillna(mode_val)</w:t>
        <w:br/>
        <w:t xml:space="preserve">    return df</w:t>
        <w:br/>
        <w:br/>
        <w:t>df_clean = execute_cleaning_pipeline(df_raw)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5. Exploratory Data Groupings &amp; Summary Matrices</w:t>
      </w:r>
    </w:p>
    <w:p>
      <w:pPr>
        <w:spacing w:after="120" w:line="276" w:lineRule="auto"/>
      </w:pPr>
      <w:r>
        <w:rPr>
          <w:b w:val="0"/>
        </w:rPr>
        <w:t>Grouping data metrics by department uncovers distinct insights, revealing payroll inequalities and highlighting operational retention issues across specific enterprise units.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Department</w:t>
            </w:r>
          </w:p>
        </w:tc>
        <w:tc>
          <w:tcPr>
            <w:tcW w:type="dxa" w:w="2340"/>
          </w:tcPr>
          <w:p>
            <w:r>
              <w:t>Headcount</w:t>
            </w:r>
          </w:p>
        </w:tc>
        <w:tc>
          <w:tcPr>
            <w:tcW w:type="dxa" w:w="2340"/>
          </w:tcPr>
          <w:p>
            <w:r>
              <w:t>Average Salary</w:t>
            </w:r>
          </w:p>
        </w:tc>
        <w:tc>
          <w:tcPr>
            <w:tcW w:type="dxa" w:w="2340"/>
          </w:tcPr>
          <w:p>
            <w:r>
              <w:t>Attrition Rate</w:t>
            </w:r>
          </w:p>
        </w:tc>
      </w:tr>
      <w:tr>
        <w:tc>
          <w:tcPr>
            <w:tcW w:type="dxa" w:w="2340"/>
          </w:tcPr>
          <w:p>
            <w:r>
              <w:t>Engineering</w:t>
            </w:r>
          </w:p>
        </w:tc>
        <w:tc>
          <w:tcPr>
            <w:tcW w:type="dxa" w:w="2340"/>
          </w:tcPr>
          <w:p>
            <w:r>
              <w:t>99</w:t>
            </w:r>
          </w:p>
        </w:tc>
        <w:tc>
          <w:tcPr>
            <w:tcW w:type="dxa" w:w="2340"/>
          </w:tcPr>
          <w:p>
            <w:r>
              <w:t>$67,097.85</w:t>
            </w:r>
          </w:p>
        </w:tc>
        <w:tc>
          <w:tcPr>
            <w:tcW w:type="dxa" w:w="2340"/>
          </w:tcPr>
          <w:p>
            <w:r>
              <w:t>17.2%</w:t>
            </w:r>
          </w:p>
        </w:tc>
      </w:tr>
      <w:tr>
        <w:tc>
          <w:tcPr>
            <w:tcW w:type="dxa" w:w="2340"/>
          </w:tcPr>
          <w:p>
            <w:r>
              <w:t>HR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$61,382.58</w:t>
            </w:r>
          </w:p>
        </w:tc>
        <w:tc>
          <w:tcPr>
            <w:tcW w:type="dxa" w:w="2340"/>
          </w:tcPr>
          <w:p>
            <w:r>
              <w:t>12.5%</w:t>
            </w:r>
          </w:p>
        </w:tc>
      </w:tr>
      <w:tr>
        <w:tc>
          <w:tcPr>
            <w:tcW w:type="dxa" w:w="2340"/>
          </w:tcPr>
          <w:p>
            <w:r>
              <w:t>Marketing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$66,728.33</w:t>
            </w:r>
          </w:p>
        </w:tc>
        <w:tc>
          <w:tcPr>
            <w:tcW w:type="dxa" w:w="2340"/>
          </w:tcPr>
          <w:p>
            <w:r>
              <w:t>14.8%</w:t>
            </w:r>
          </w:p>
        </w:tc>
      </w:tr>
      <w:tr>
        <w:tc>
          <w:tcPr>
            <w:tcW w:type="dxa" w:w="2340"/>
          </w:tcPr>
          <w:p>
            <w:r>
              <w:t>Operations</w:t>
            </w:r>
          </w:p>
        </w:tc>
        <w:tc>
          <w:tcPr>
            <w:tcW w:type="dxa" w:w="2340"/>
          </w:tcPr>
          <w:p>
            <w:r>
              <w:t>32</w:t>
            </w:r>
          </w:p>
        </w:tc>
        <w:tc>
          <w:tcPr>
            <w:tcW w:type="dxa" w:w="2340"/>
          </w:tcPr>
          <w:p>
            <w:r>
              <w:t>$62,376.86</w:t>
            </w:r>
          </w:p>
        </w:tc>
        <w:tc>
          <w:tcPr>
            <w:tcW w:type="dxa" w:w="2340"/>
          </w:tcPr>
          <w:p>
            <w:r>
              <w:t>28.1%</w:t>
            </w:r>
          </w:p>
        </w:tc>
      </w:tr>
      <w:tr>
        <w:tc>
          <w:tcPr>
            <w:tcW w:type="dxa" w:w="2340"/>
          </w:tcPr>
          <w:p>
            <w:r>
              <w:t>Sales</w:t>
            </w:r>
          </w:p>
        </w:tc>
        <w:tc>
          <w:tcPr>
            <w:tcW w:type="dxa" w:w="2340"/>
          </w:tcPr>
          <w:p>
            <w:r>
              <w:t>66</w:t>
            </w:r>
          </w:p>
        </w:tc>
        <w:tc>
          <w:tcPr>
            <w:tcW w:type="dxa" w:w="2340"/>
          </w:tcPr>
          <w:p>
            <w:r>
              <w:t>$66,324.66</w:t>
            </w:r>
          </w:p>
        </w:tc>
        <w:tc>
          <w:tcPr>
            <w:tcW w:type="dxa" w:w="2340"/>
          </w:tcPr>
          <w:p>
            <w:r>
              <w:t>18.2%</w:t>
            </w:r>
          </w:p>
        </w:tc>
      </w:tr>
      <w:tr>
        <w:tc>
          <w:tcPr>
            <w:tcW w:type="dxa" w:w="2340"/>
          </w:tcPr>
          <w:p>
            <w:r>
              <w:t>Unknown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$60,372.97</w:t>
            </w:r>
          </w:p>
        </w:tc>
        <w:tc>
          <w:tcPr>
            <w:tcW w:type="dxa" w:w="2340"/>
          </w:tcPr>
          <w:p>
            <w:r>
              <w:t>0.0%</w:t>
            </w:r>
          </w:p>
        </w:tc>
      </w:tr>
    </w:tbl>
    <w:p>
      <w:pPr>
        <w:spacing w:before="120"/>
      </w:pP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6. Graphical Visualizations &amp; Statistical Intersections</w:t>
      </w:r>
    </w:p>
    <w:p>
      <w:pPr>
        <w:spacing w:after="120" w:line="276" w:lineRule="auto"/>
      </w:pPr>
      <w:r>
        <w:rPr>
          <w:b w:val="0"/>
        </w:rPr>
        <w:t>To clearly illustrate trends for leadership, the framework outputs four crisp, high-resolution charts that visually connect compensation profiles to worker performance levels and overall turnover behaviors.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8"/>
        </w:rPr>
        <w:t>6.1 Workforce Distribution across Corporate Departments</w:t>
      </w:r>
    </w:p>
    <w:p>
      <w:pPr>
        <w:spacing w:after="120" w:line="276" w:lineRule="auto"/>
      </w:pPr>
      <w:r>
        <w:rPr>
          <w:b w:val="0"/>
        </w:rPr>
        <w:t>This chart maps total headcounts across the organization to identify structural imbalances or team over-allocations.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1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9"/>
        </w:rPr>
        <w:t>Figure 5.1: Corporate Workforce Headcount Distribution Across Internal Business Units.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8"/>
        </w:rPr>
        <w:t>6.2 Salary Distribution Profile with Density Overlay</w:t>
      </w:r>
    </w:p>
    <w:p>
      <w:pPr>
        <w:spacing w:after="120" w:line="276" w:lineRule="auto"/>
      </w:pPr>
      <w:r>
        <w:rPr>
          <w:b w:val="0"/>
        </w:rPr>
        <w:t>This distribution profile identifies salary bands and highlights where internal payroll benchmarks cluster.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13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9"/>
        </w:rPr>
        <w:t>Figure 5.2: Frequency Histogram of Employee Salaries with Kernel Density Estimation Line.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8"/>
        </w:rPr>
        <w:t>6.3 Salary Level vs Performance Score Matrix by Attrition Status</w:t>
      </w:r>
    </w:p>
    <w:p>
      <w:pPr>
        <w:spacing w:after="120" w:line="276" w:lineRule="auto"/>
      </w:pPr>
      <w:r>
        <w:rPr>
          <w:b w:val="0"/>
        </w:rPr>
        <w:t>This scatter matrix cross-references employee performance against salary layers, with colors highlighting active vs. exited staff to show where turnover risks lean.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13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9"/>
        </w:rPr>
        <w:t>Figure 5.3: Bivariate Scatter Analysis of Compensation vs Performance Tiers.</w:t>
      </w:r>
    </w:p>
    <w:p>
      <w:pPr>
        <w:keepNext/>
        <w:spacing w:before="240" w:after="80"/>
      </w:pPr>
      <w:r>
        <w:rPr>
          <w:rFonts w:ascii="Calibri" w:hAnsi="Calibri"/>
          <w:b/>
          <w:color w:val="2E74B5"/>
          <w:sz w:val="28"/>
        </w:rPr>
        <w:t>6.4 Turnover Rate Breakdown by Salary Band</w:t>
      </w:r>
    </w:p>
    <w:p>
      <w:pPr>
        <w:spacing w:after="120" w:line="276" w:lineRule="auto"/>
      </w:pPr>
      <w:r>
        <w:rPr>
          <w:b w:val="0"/>
        </w:rPr>
        <w:t>This structured chart shows a clear pattern: lower-earning brackets display significantly higher risk profiles, reaching turnover levels near 45%.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1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9"/>
        </w:rPr>
        <w:t>Figure 5.4: Percent Turnover Tracking across Fragmented Income Brackets.</w:t>
      </w:r>
    </w:p>
    <w:p>
      <w:pPr>
        <w:keepNext/>
        <w:spacing w:before="360" w:after="120"/>
      </w:pPr>
      <w:r>
        <w:rPr>
          <w:rFonts w:ascii="Calibri" w:hAnsi="Calibri"/>
          <w:b/>
          <w:color w:val="1F4E78"/>
          <w:sz w:val="36"/>
        </w:rPr>
        <w:t>7. Strategic Insights &amp; Next Steps</w:t>
      </w:r>
    </w:p>
    <w:p>
      <w:pPr>
        <w:spacing w:after="120" w:line="276" w:lineRule="auto"/>
      </w:pPr>
      <w:r>
        <w:rPr>
          <w:b w:val="0"/>
        </w:rPr>
        <w:t>• The Compensation Factor: Analysis reveals a strong, inverse link between base salary bands and employee turnover. Personnel within entry-level income categories experience an amplified turnover rate approaching 45%.</w:t>
      </w:r>
    </w:p>
    <w:p>
      <w:pPr>
        <w:spacing w:after="120" w:line="276" w:lineRule="auto"/>
      </w:pPr>
      <w:r>
        <w:rPr>
          <w:b w:val="0"/>
        </w:rPr>
        <w:t>• Performance Retention Paradox: High-performing individuals inside low-paying brackets leave at similar rates as underperformers, indicating that uncompetitive compensation—rather than low job satisfaction—is driving talent out.</w:t>
      </w:r>
    </w:p>
    <w:p>
      <w:pPr>
        <w:spacing w:after="120" w:line="276" w:lineRule="auto"/>
      </w:pPr>
      <w:r>
        <w:rPr>
          <w:b w:val="0"/>
        </w:rPr>
        <w:t>• Targeted Pay Adjustments: Adjusting lower-tier compensation structures to match market benchmarks offers a clear way for leadership to build workforce stability and lower the high cost of rehiring.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