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65D"/>
            <w:tcMar>
              <w:top w:w="500" w:type="dxa"/>
              <w:start w:w="240" w:type="dxa"/>
              <w:bottom w:w="500" w:type="dxa"/>
              <w:end w:w="2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4"/>
              </w:rPr>
              <w:t>BDI干散货航运市场分析报告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D9E6F2"/>
                <w:sz w:val="25"/>
              </w:rPr>
              <w:t>Dry Bulk Shipping Market Analysis Based on Baltic Dry Index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2020年1月 - 2026年7月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作者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20"/>
              </w:rPr>
              <w:t>陈英杰（YingJie Chen）</w:t>
            </w:r>
          </w:p>
        </w:tc>
      </w:tr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学校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20"/>
              </w:rPr>
              <w:t>武汉理工大学</w:t>
            </w:r>
          </w:p>
        </w:tc>
      </w:tr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专业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20"/>
              </w:rPr>
              <w:t>航海技术</w:t>
            </w:r>
          </w:p>
        </w:tc>
      </w:tr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完成时间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20"/>
              </w:rPr>
              <w:t>2026年7月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32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34"/>
              </w:rPr>
              <w:t>79个月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样本数量</w:t>
            </w:r>
          </w:p>
        </w:tc>
        <w:tc>
          <w:tcPr>
            <w:tcW w:type="dxa" w:w="232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34"/>
              </w:rPr>
              <w:t>5,167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区间最高月末值</w:t>
            </w:r>
          </w:p>
        </w:tc>
        <w:tc>
          <w:tcPr>
            <w:tcW w:type="dxa" w:w="232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34"/>
              </w:rPr>
              <w:t>3,224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2026年5月近期高位</w:t>
            </w:r>
          </w:p>
        </w:tc>
        <w:tc>
          <w:tcPr>
            <w:tcW w:type="dxa" w:w="232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34"/>
              </w:rPr>
              <w:t>339%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2025.01至2026.05反弹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报告摘要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本报告基于整理后的BDI月度数据，对2020年至2026年7月干散货市场走势、关键转折和供需机制进行总结。分析重点不在预测短期点位，而在说明全球经济、货物需求、船舶有效供给、政策与外部冲击如何共同影响运价。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17365D"/>
          <w:sz w:val="36"/>
        </w:rPr>
        <w:t>1. 项目概述与分析方法</w:t>
      </w:r>
    </w:p>
    <w:p>
      <w:pPr>
        <w:spacing w:after="100" w:line="317" w:lineRule="auto"/>
      </w:pPr>
      <w:r>
        <w:rPr>
          <w:rFonts w:ascii="Noto Sans CJK SC" w:hAnsi="Noto Sans CJK SC" w:eastAsia="Noto Sans CJK SC"/>
          <w:b/>
          <w:color w:val="1F1F1F"/>
          <w:sz w:val="20"/>
        </w:rPr>
        <w:t>项目目标：</w:t>
      </w:r>
      <w:r>
        <w:rPr>
          <w:rFonts w:ascii="Noto Sans CJK SC" w:hAnsi="Noto Sans CJK SC" w:eastAsia="Noto Sans CJK SC"/>
          <w:color w:val="1F1F1F"/>
          <w:sz w:val="20"/>
        </w:rPr>
        <w:t>利用Excel整理与可视化BDI历史数据，识别主要市场阶段，并建立“事件 - 供需变化 - 运价反应”的基础分析框架。</w:t>
      </w:r>
    </w:p>
    <w:p>
      <w:pPr>
        <w:spacing w:after="100" w:line="317" w:lineRule="auto"/>
      </w:pPr>
      <w:r>
        <w:rPr>
          <w:rFonts w:ascii="Noto Sans CJK SC" w:hAnsi="Noto Sans CJK SC" w:eastAsia="Noto Sans CJK SC"/>
          <w:b/>
          <w:color w:val="1F1F1F"/>
          <w:sz w:val="20"/>
        </w:rPr>
        <w:t>研究对象：</w:t>
      </w:r>
      <w:r>
        <w:rPr>
          <w:rFonts w:ascii="Noto Sans CJK SC" w:hAnsi="Noto Sans CJK SC" w:eastAsia="Noto Sans CJK SC"/>
          <w:color w:val="1F1F1F"/>
          <w:sz w:val="20"/>
        </w:rPr>
        <w:t>波罗的海干散货指数（Baltic Dry Index, BDI）。该指数用于观察主要干散货航线的运价变化，可作为全球大宗商品海运市场景气度的参考指标。</w:t>
      </w:r>
    </w:p>
    <w:p>
      <w:pPr>
        <w:spacing w:after="100" w:line="317" w:lineRule="auto"/>
      </w:pPr>
      <w:r>
        <w:rPr>
          <w:rFonts w:ascii="Noto Sans CJK SC" w:hAnsi="Noto Sans CJK SC" w:eastAsia="Noto Sans CJK SC"/>
          <w:b/>
          <w:color w:val="1F1F1F"/>
          <w:sz w:val="20"/>
        </w:rPr>
        <w:t>数据范围：</w:t>
      </w:r>
      <w:r>
        <w:rPr>
          <w:rFonts w:ascii="Noto Sans CJK SC" w:hAnsi="Noto Sans CJK SC" w:eastAsia="Noto Sans CJK SC"/>
          <w:color w:val="1F1F1F"/>
          <w:sz w:val="20"/>
        </w:rPr>
        <w:t>2020年1月至2026年7月，共79个月。数据字段包括月末价格、开盘、高点、低点和月度涨跌幅；原始下载文件中的成交量字段为空。</w:t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1.1 数据来源与处理流程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下载数据</w:t>
            </w:r>
          </w:p>
        </w:tc>
        <w:tc>
          <w:tcPr>
            <w:tcW w:type="dxa" w:w="143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清理日期</w:t>
            </w:r>
          </w:p>
        </w:tc>
        <w:tc>
          <w:tcPr>
            <w:tcW w:type="dxa" w:w="1434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趋势可视化</w:t>
            </w:r>
          </w:p>
        </w:tc>
        <w:tc>
          <w:tcPr>
            <w:tcW w:type="dxa" w:w="143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标记节点</w:t>
            </w:r>
          </w:p>
        </w:tc>
        <w:tc>
          <w:tcPr>
            <w:tcW w:type="dxa" w:w="1434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解释事件</w:t>
            </w:r>
          </w:p>
        </w:tc>
        <w:tc>
          <w:tcPr>
            <w:tcW w:type="dxa" w:w="1434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提炼机制</w:t>
            </w:r>
          </w:p>
        </w:tc>
        <w:tc>
          <w:tcPr>
            <w:tcW w:type="dxa" w:w="1434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00" w:type="dxa"/>
              <w:start w:w="45" w:type="dxa"/>
              <w:bottom w:w="10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形成报告</w:t>
            </w:r>
          </w:p>
        </w:tc>
      </w:tr>
    </w:tbl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1.2 描述性统计</w:t>
      </w:r>
    </w:p>
    <w:p>
      <w:r>
        <w:drawing>
          <wp:inline xmlns:a="http://schemas.openxmlformats.org/drawingml/2006/main" xmlns:pic="http://schemas.openxmlformats.org/drawingml/2006/picture">
            <wp:extent cx="5652000" cy="228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_report_annual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8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图1  各年度BDI月均值（2026年仅统计1-7月）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区间平均值</w:t>
            </w:r>
          </w:p>
        </w:tc>
        <w:tc>
          <w:tcPr>
            <w:tcW w:type="dxa" w:w="2007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中位数</w:t>
            </w:r>
          </w:p>
        </w:tc>
        <w:tc>
          <w:tcPr>
            <w:tcW w:type="dxa" w:w="2007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最低月末值</w:t>
            </w:r>
          </w:p>
        </w:tc>
        <w:tc>
          <w:tcPr>
            <w:tcW w:type="dxa" w:w="2007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最高月末值</w:t>
            </w:r>
          </w:p>
        </w:tc>
        <w:tc>
          <w:tcPr>
            <w:tcW w:type="dxa" w:w="2007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最大单月涨幅</w:t>
            </w:r>
          </w:p>
        </w:tc>
      </w:tr>
      <w:tr>
        <w:tc>
          <w:tcPr>
            <w:tcW w:type="dxa" w:w="2007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6"/>
              </w:rPr>
              <w:t>1,847</w:t>
            </w:r>
          </w:p>
        </w:tc>
        <w:tc>
          <w:tcPr>
            <w:tcW w:type="dxa" w:w="2007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6"/>
              </w:rPr>
              <w:t>1,725</w:t>
            </w:r>
          </w:p>
        </w:tc>
        <w:tc>
          <w:tcPr>
            <w:tcW w:type="dxa" w:w="2007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6"/>
              </w:rPr>
              <w:t>487</w:t>
              <w:br/>
              <w:t>2020.01</w:t>
            </w:r>
          </w:p>
        </w:tc>
        <w:tc>
          <w:tcPr>
            <w:tcW w:type="dxa" w:w="2007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6"/>
              </w:rPr>
              <w:t>5,167</w:t>
              <w:br/>
              <w:t>2021.09</w:t>
            </w:r>
          </w:p>
        </w:tc>
        <w:tc>
          <w:tcPr>
            <w:tcW w:type="dxa" w:w="2007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1F1F"/>
                <w:sz w:val="16"/>
              </w:rPr>
              <w:t>256.9%</w:t>
              <w:br/>
              <w:t>2020.06</w:t>
            </w:r>
          </w:p>
        </w:tc>
      </w:tr>
    </w:tbl>
    <w:p>
      <w:pPr>
        <w:spacing w:before="100" w:after="0"/>
      </w:pPr>
      <w:r>
        <w:rPr>
          <w:rFonts w:ascii="Noto Sans CJK SC" w:hAnsi="Noto Sans CJK SC" w:eastAsia="Noto Sans CJK SC"/>
          <w:b/>
          <w:color w:val="666666"/>
          <w:sz w:val="17"/>
        </w:rPr>
        <w:t>数据来源：</w:t>
      </w:r>
      <w:hyperlink r:id="rId12">
        <w:r>
          <w:rPr>
            <w:color w:val="2F75B5"/>
            <w:u w:val="single"/>
            <w:rFonts w:eastAsia="Noto Sans CJK SC" w:ascii="Noto Sans CJK SC"/>
          </w:rPr>
          <w:t>Investing.com - Baltic Dry Index Historical Data</w:t>
        </w:r>
      </w:hyperlink>
    </w:p>
    <w:p>
      <w:r>
        <w:br w:type="page"/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17365D"/>
          <w:sz w:val="36"/>
        </w:rPr>
        <w:t>2. 市场走势与关键转折</w:t>
      </w:r>
    </w:p>
    <w:p>
      <w:r>
        <w:drawing>
          <wp:inline xmlns:a="http://schemas.openxmlformats.org/drawingml/2006/main" xmlns:pic="http://schemas.openxmlformats.org/drawingml/2006/picture">
            <wp:extent cx="6083999" cy="2717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_report_month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71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图2  BDI月度走势与关键节点</w:t>
      </w:r>
    </w:p>
    <w:p>
      <w:pPr>
        <w:spacing w:after="80" w:line="317" w:lineRule="auto"/>
      </w:pPr>
      <w:r>
        <w:rPr>
          <w:rFonts w:ascii="Noto Sans CJK SC" w:hAnsi="Noto Sans CJK SC" w:eastAsia="Noto Sans CJK SC"/>
          <w:color w:val="1F1F1F"/>
          <w:sz w:val="19"/>
        </w:rPr>
        <w:t>从月度数据看，BDI在2020年疫情初期处于低位，随后于2020年6月快速反弹，并在2021年9月达到本分析区间最高月末值5,167点。此后指数经历明显回调，至2023年1月为681点，较区间峰值下降约86.8%。2025年初以后市场再次回升，2026年5月升至3,224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509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市场阶段</w:t>
            </w:r>
          </w:p>
        </w:tc>
        <w:tc>
          <w:tcPr>
            <w:tcW w:type="dxa" w:w="2509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数据表现</w:t>
            </w:r>
          </w:p>
        </w:tc>
        <w:tc>
          <w:tcPr>
            <w:tcW w:type="dxa" w:w="2509"/>
            <w:shd w:fill="17365D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主要解释</w:t>
            </w:r>
          </w:p>
        </w:tc>
      </w:tr>
      <w:tr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2020.01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疫情冲击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487点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全球经济活动与贸易需求骤降，干散货运输需求减弱。</w:t>
            </w:r>
          </w:p>
        </w:tc>
      </w:tr>
      <w:tr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2020.06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快速恢复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1,799点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复工与原材料需求恢复，同时运输效率受限。</w:t>
            </w:r>
          </w:p>
        </w:tc>
      </w:tr>
      <w:tr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2021.09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市场高峰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5,167点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商品需求强、港口拥堵和有效运力偏紧共同推升运价。</w:t>
            </w:r>
          </w:p>
        </w:tc>
      </w:tr>
      <w:tr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2022.08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下行调整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965点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经济放缓、货币紧缩及商品需求转弱。</w:t>
            </w:r>
          </w:p>
        </w:tc>
      </w:tr>
      <w:tr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2023.01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阶段低位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681点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贸易增长疲弱，市场供需重新平衡。</w:t>
            </w:r>
          </w:p>
        </w:tc>
      </w:tr>
      <w:tr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2025.01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复苏起点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735点</w:t>
            </w:r>
          </w:p>
        </w:tc>
        <w:tc>
          <w:tcPr>
            <w:tcW w:type="dxa" w:w="2509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商品需求与市场预期逐步改善。</w:t>
            </w:r>
          </w:p>
        </w:tc>
      </w:tr>
      <w:tr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2026.05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近期高位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3,224点</w:t>
            </w:r>
          </w:p>
        </w:tc>
        <w:tc>
          <w:tcPr>
            <w:tcW w:type="dxa" w:w="2509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48" w:type="dxa"/>
              <w:start w:w="42" w:type="dxa"/>
              <w:bottom w:w="48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5"/>
              </w:rPr>
              <w:t>干散货需求增强，运力供给相对有限。</w:t>
            </w: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17365D"/>
          <w:sz w:val="36"/>
        </w:rPr>
        <w:t>3. 核心市场机制：事件如何传导至BDI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核心逻辑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BDI的短期波动最终表现为货物运输需求与船舶有效供给之间的变化。疫情、战争、能源危机和政策不是独立的“答案”，它们通常通过影响需求、供给或运输效率，改变市场平衡。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shd w:fill="17365D"/>
            <w:tcMar>
              <w:top w:w="120" w:type="dxa"/>
              <w:start w:w="45" w:type="dxa"/>
              <w:bottom w:w="120" w:type="dxa"/>
              <w:end w:w="45" w:type="dxa"/>
            </w:tcMar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外部事件</w:t>
            </w:r>
          </w:p>
        </w:tc>
        <w:tc>
          <w:tcPr>
            <w:tcW w:type="dxa" w:w="1434"/>
            <w:shd w:fill="FFFFFF"/>
            <w:tcMar>
              <w:top w:w="120" w:type="dxa"/>
              <w:start w:w="45" w:type="dxa"/>
              <w:bottom w:w="12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F75B5"/>
                <w:sz w:val="18"/>
              </w:rPr>
              <w:t>→</w:t>
            </w:r>
          </w:p>
        </w:tc>
        <w:tc>
          <w:tcPr>
            <w:tcW w:type="dxa" w:w="1434"/>
            <w:shd w:fill="17365D"/>
            <w:tcMar>
              <w:top w:w="120" w:type="dxa"/>
              <w:start w:w="45" w:type="dxa"/>
              <w:bottom w:w="120" w:type="dxa"/>
              <w:end w:w="45" w:type="dxa"/>
            </w:tcMar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需求/供给/效率</w:t>
            </w:r>
          </w:p>
        </w:tc>
        <w:tc>
          <w:tcPr>
            <w:tcW w:type="dxa" w:w="1434"/>
            <w:shd w:fill="FFFFFF"/>
            <w:tcMar>
              <w:top w:w="120" w:type="dxa"/>
              <w:start w:w="45" w:type="dxa"/>
              <w:bottom w:w="12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F75B5"/>
                <w:sz w:val="18"/>
              </w:rPr>
              <w:t>→</w:t>
            </w:r>
          </w:p>
        </w:tc>
        <w:tc>
          <w:tcPr>
            <w:tcW w:type="dxa" w:w="1434"/>
            <w:shd w:fill="17365D"/>
            <w:tcMar>
              <w:top w:w="120" w:type="dxa"/>
              <w:start w:w="45" w:type="dxa"/>
              <w:bottom w:w="120" w:type="dxa"/>
              <w:end w:w="45" w:type="dxa"/>
            </w:tcMar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运力紧张或宽松</w:t>
            </w:r>
          </w:p>
        </w:tc>
        <w:tc>
          <w:tcPr>
            <w:tcW w:type="dxa" w:w="1434"/>
            <w:shd w:fill="FFFFFF"/>
            <w:tcMar>
              <w:top w:w="120" w:type="dxa"/>
              <w:start w:w="45" w:type="dxa"/>
              <w:bottom w:w="12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F75B5"/>
                <w:sz w:val="18"/>
              </w:rPr>
              <w:t>→</w:t>
            </w:r>
          </w:p>
        </w:tc>
        <w:tc>
          <w:tcPr>
            <w:tcW w:type="dxa" w:w="1434"/>
            <w:shd w:fill="17365D"/>
            <w:tcMar>
              <w:top w:w="120" w:type="dxa"/>
              <w:start w:w="45" w:type="dxa"/>
              <w:bottom w:w="120" w:type="dxa"/>
              <w:end w:w="45" w:type="dxa"/>
            </w:tcMar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BDI变化</w:t>
            </w:r>
          </w:p>
        </w:tc>
      </w:tr>
    </w:tbl>
    <w:p/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3.1 三个核心判断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6690"/>
            <w:gridSpan w:val="2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供需关系是核心</w:t>
            </w:r>
          </w:p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经济与工业活动决定铁矿石、煤炭、粮食等货物需求；船队规模、船舶周转和港口效率决定有效运力。</w:t>
            </w:r>
          </w:p>
        </w:tc>
        <w:tc>
          <w:tcPr>
            <w:tcW w:type="dxa" w:w="3345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6"/>
              </w:rPr>
              <w:t>D/S</w:t>
            </w:r>
          </w:p>
        </w:tc>
      </w:tr>
      <w:tr>
        <w:tc>
          <w:tcPr>
            <w:tcW w:type="dxa" w:w="6690"/>
            <w:gridSpan w:val="2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外部事件改变平衡</w:t>
            </w:r>
          </w:p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疫情、战争和能源危机既可能压低货量，也可能延长航程、降低港口效率，从而同时影响需求与供给。</w:t>
            </w:r>
          </w:p>
        </w:tc>
        <w:tc>
          <w:tcPr>
            <w:tcW w:type="dxa" w:w="3345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6"/>
              </w:rPr>
              <w:t>SHOCK</w:t>
            </w:r>
          </w:p>
        </w:tc>
      </w:tr>
      <w:tr>
        <w:tc>
          <w:tcPr>
            <w:tcW w:type="dxa" w:w="6690"/>
            <w:gridSpan w:val="2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航运周期存在滞后</w:t>
            </w:r>
          </w:p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货物需求可以快速变化，但新船建造和船队调整需要时间，因此市场容易出现阶段性供需错配。</w:t>
            </w:r>
          </w:p>
        </w:tc>
        <w:tc>
          <w:tcPr>
            <w:tcW w:type="dxa" w:w="3345"/>
            <w:shd w:fill="FFFFFF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6"/>
              </w:rPr>
              <w:t>CYCLE</w:t>
            </w:r>
          </w:p>
        </w:tc>
      </w:tr>
    </w:tbl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3.2 本项目形成的分析框架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先观察指数变化：确认上涨、下跌、波动区间和转折时间。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再寻找直接变量：货量是否变化、可用船舶是否紧张、港口效率是否下降。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最后解释外部驱动：经济周期、政策、疫情、地缘冲突和能源市场变化。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避免把单一新闻事件直接等同于运价方向，应判断它对供需两端的净影响。</w:t>
      </w:r>
    </w:p>
    <w:p>
      <w:r>
        <w:br w:type="page"/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17365D"/>
          <w:sz w:val="36"/>
        </w:rPr>
        <w:t>4. 结论、局限与下一步</w:t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4.1 主要结论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2020-2026年的BDI走势表现出明显周期性，经历疫情冲击、快速修复、市场高峰、深度调整与再度复苏。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2021年高位并非单纯由“货物增加”造成，而是需求恢复、港口拥堵和有效运力偏紧共同作用的结果。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船舶供给调整慢于需求变化，是航运市场出现大幅波动和周期错配的重要原因。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政策和突发事件通过影响全球经济、商品贸易、航程与运输效率，间接改变BDI。</w:t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4.2 项目局限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BDI反映干散货市场，不能直接代表集装箱班轮运价；对于马士基、OOCL等班轮公司，还需结合SCFI等指标。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2026年数据仅覆盖1-7月，与完整年度平均值不可直接等量比较。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本项目主要采用单一指数和事件解释，尚未加入铁矿石进口量、干散货船队增长率、港口拥堵等交叉指标。</w:t>
      </w:r>
    </w:p>
    <w:p>
      <w:pPr>
        <w:pStyle w:val="ListBullet"/>
        <w:spacing w:after="60"/>
        <w:ind w:left="369" w:hanging="142"/>
      </w:pPr>
      <w:r>
        <w:rPr>
          <w:rFonts w:ascii="Noto Sans CJK SC" w:hAnsi="Noto Sans CJK SC" w:eastAsia="Noto Sans CJK SC"/>
          <w:color w:val="1F1F1F"/>
          <w:sz w:val="20"/>
        </w:rPr>
        <w:t>部分事件驱动分析属于基于公开行业逻辑的解释，不构成投资建议或精确因果识别。</w:t>
      </w:r>
    </w:p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4.3 个人收获与下一步</w:t>
      </w:r>
    </w:p>
    <w:p>
      <w:pPr>
        <w:spacing w:after="100" w:line="317" w:lineRule="auto"/>
      </w:pPr>
      <w:r>
        <w:rPr>
          <w:rFonts w:ascii="Noto Sans CJK SC" w:hAnsi="Noto Sans CJK SC" w:eastAsia="Noto Sans CJK SC"/>
          <w:color w:val="1F1F1F"/>
          <w:sz w:val="20"/>
        </w:rPr>
        <w:t>通过本项目，我从“观察指数涨跌”进一步转向“分析货物需求、船舶供给和外部冲击”。项目同时锻炼了Excel数据整理、趋势可视化、事件归纳和航运市场表达能力。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下一项目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19"/>
              </w:rPr>
              <w:t>SCFI集装箱运价分析，补充班轮市场视角。</w:t>
            </w:r>
          </w:p>
        </w:tc>
      </w:tr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数据升级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19"/>
              </w:rPr>
              <w:t>加入中国铁矿石进口量、船队增速或港口拥堵指标。</w:t>
            </w:r>
          </w:p>
        </w:tc>
      </w:tr>
      <w:tr>
        <w:tc>
          <w:tcPr>
            <w:tcW w:type="dxa" w:w="5018"/>
            <w:shd w:fill="DCE6F1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工具升级</w:t>
            </w:r>
          </w:p>
        </w:tc>
        <w:tc>
          <w:tcPr>
            <w:tcW w:type="dxa" w:w="5018"/>
            <w:shd w:fill="F4F7F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1F1F"/>
                <w:sz w:val="19"/>
              </w:rPr>
              <w:t>逐步使用Python或Power BI实现自动清洗和可视化。</w:t>
            </w:r>
          </w:p>
        </w:tc>
      </w:tr>
    </w:tbl>
    <w:p>
      <w:pPr>
        <w:spacing w:before="40" w:after="160"/>
      </w:pPr>
      <w:r>
        <w:rPr>
          <w:rFonts w:ascii="Noto Sans CJK SC" w:hAnsi="Noto Sans CJK SC" w:eastAsia="Noto Sans CJK SC"/>
          <w:b/>
          <w:color w:val="2F75B5"/>
          <w:sz w:val="26"/>
        </w:rPr>
        <w:t>项目链接</w:t>
      </w:r>
    </w:p>
    <w:p>
      <w:pPr>
        <w:spacing w:after="80"/>
      </w:pPr>
      <w:hyperlink r:id="rId14">
        <w:r>
          <w:rPr>
            <w:color w:val="2F75B5"/>
            <w:u w:val="single"/>
            <w:rFonts w:eastAsia="Noto Sans CJK SC" w:ascii="Noto Sans CJK SC"/>
          </w:rPr>
          <w:t>GitHub: BDI-Market-Analysis-2020-2026</w:t>
        </w:r>
      </w:hyperlink>
    </w:p>
    <w:p>
      <w:pPr>
        <w:spacing w:after="0" w:line="317" w:lineRule="auto"/>
      </w:pPr>
      <w:r>
        <w:rPr>
          <w:rFonts w:ascii="Noto Sans CJK SC" w:hAnsi="Noto Sans CJK SC" w:eastAsia="Noto Sans CJK SC"/>
          <w:color w:val="1F1F1F"/>
          <w:sz w:val="18"/>
        </w:rPr>
        <w:t>说明：本报告根据项目Excel工作簿生成，建议与原始数据、Excel文件和README一同放入GitHub仓库的report文件夹。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BDI干散货航运市场分析报告  |  2020-2026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nvesting.com/indices/baltic-dry-historical-data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manbaaichinailong-sketch/BDI-Market-Analysis-2020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