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黑体"/>
          <w:b/>
          <w:i w:val="0"/>
          <w:color w:val="1F3D5C"/>
          <w:sz w:val="38"/>
        </w:rPr>
        <w:t>百炼工作流接入梧桐平台技术说明</w:t>
      </w:r>
    </w:p>
    <w:p>
      <w:pPr>
        <w:spacing w:after="360"/>
        <w:jc w:val="center"/>
      </w:pPr>
      <w:r>
        <w:rPr>
          <w:rFonts w:ascii="Times New Roman" w:hAnsi="Times New Roman" w:eastAsia="楷体"/>
          <w:b w:val="0"/>
          <w:i w:val="0"/>
          <w:color w:val="606A74"/>
          <w:sz w:val="25"/>
        </w:rPr>
        <w:t>—— 接入过程、问题排查与后续工作</w:t>
      </w:r>
    </w:p>
    <w:p>
      <w:pPr>
        <w:spacing w:before="400" w:after="200" w:line="312" w:lineRule="auto"/>
      </w:pPr>
      <w:r>
        <w:rPr>
          <w:rFonts w:ascii="Times New Roman" w:hAnsi="Times New Roman" w:eastAsia="黑体"/>
          <w:b/>
          <w:i w:val="0"/>
          <w:color w:val="1F3D5C"/>
          <w:sz w:val="32"/>
        </w:rPr>
        <w:t>1  事情做到哪一步了</w:t>
      </w:r>
    </w:p>
    <w:p>
      <w:pPr>
        <w:spacing w:before="280" w:after="160" w:line="312" w:lineRule="auto"/>
      </w:pPr>
      <w:r>
        <w:rPr>
          <w:rFonts w:ascii="Times New Roman" w:hAnsi="Times New Roman" w:eastAsia="黑体"/>
          <w:b/>
          <w:i w:val="0"/>
          <w:color w:val="1F3D5C"/>
          <w:sz w:val="27"/>
        </w:rPr>
        <w:t>1.1  这个工作流现在在哪</w:t>
      </w:r>
    </w:p>
    <w:p>
      <w:pPr>
        <w:spacing w:before="0" w:after="120" w:line="360" w:lineRule="auto"/>
        <w:ind w:firstLine="480"/>
      </w:pPr>
      <w:r>
        <w:rPr>
          <w:rFonts w:ascii="Times New Roman" w:hAnsi="Times New Roman" w:eastAsia="宋体"/>
          <w:b w:val="0"/>
          <w:i w:val="0"/>
          <w:color w:val="1B1B1B"/>
          <w:sz w:val="24"/>
        </w:rPr>
        <w:t>这个 ROS2 教学智能体最初是百炼平台上的一套可视化工作流：内部编排了需求理解、代码生成、规范审查、知识讲解等节点，对外以 HTTP 应用服务的形式提供调用接口。它只能被“知道它地址的人”按百炼的应用调用格式使用。</w:t>
      </w:r>
    </w:p>
    <w:p>
      <w:pPr>
        <w:spacing w:before="0" w:after="120" w:line="360" w:lineRule="auto"/>
        <w:ind w:firstLine="480"/>
      </w:pPr>
      <w:r>
        <w:rPr>
          <w:rFonts w:ascii="Times New Roman" w:hAnsi="Times New Roman" w:eastAsia="宋体"/>
          <w:b w:val="0"/>
          <w:i w:val="0"/>
          <w:color w:val="1B1B1B"/>
          <w:sz w:val="24"/>
        </w:rPr>
        <w:t>这个智能体面向的是工业机器人开发能力的培养场景：ROS 2 是当前工业机器人的通用开发框架，属于智能制造方向。</w:t>
      </w:r>
    </w:p>
    <w:p>
      <w:pPr>
        <w:spacing w:before="0" w:after="120" w:line="360" w:lineRule="auto"/>
        <w:ind w:firstLine="480"/>
      </w:pPr>
      <w:r>
        <w:rPr>
          <w:rFonts w:ascii="Times New Roman" w:hAnsi="Times New Roman" w:eastAsia="宋体"/>
          <w:b w:val="0"/>
          <w:i w:val="0"/>
          <w:color w:val="1B1B1B"/>
          <w:sz w:val="24"/>
        </w:rPr>
        <w:t>现在它已经接入梧桐智能体互联平台，成为一个平台登记的智能体：平台上的协作智能体（叮当）在收到相关需求时，能够自动发现它、把任务派发给它，并取回它产出的结果。也就是说，这个工作流从“一个需要手动调用的接口”变成了“一个会被平台按需调用的能力”。</w:t>
      </w:r>
    </w:p>
    <w:p>
      <w:pPr>
        <w:spacing w:before="0" w:after="120" w:line="360" w:lineRule="auto"/>
        <w:ind w:firstLine="480"/>
      </w:pPr>
      <w:r>
        <w:rPr>
          <w:rFonts w:ascii="Times New Roman" w:hAnsi="Times New Roman" w:eastAsia="宋体"/>
          <w:b w:val="0"/>
          <w:i w:val="0"/>
          <w:color w:val="1B1B1B"/>
          <w:sz w:val="24"/>
        </w:rPr>
        <w:t>接入工作全部发生在工作流之外：工作流内部的编排逻辑、节点配置没有任何改动。</w:t>
      </w:r>
    </w:p>
    <w:p>
      <w:pPr>
        <w:spacing w:before="280" w:after="160" w:line="312" w:lineRule="auto"/>
      </w:pPr>
      <w:r>
        <w:rPr>
          <w:rFonts w:ascii="Times New Roman" w:hAnsi="Times New Roman" w:eastAsia="黑体"/>
          <w:b/>
          <w:i w:val="0"/>
          <w:color w:val="1F3D5C"/>
          <w:sz w:val="27"/>
        </w:rPr>
        <w:t>1.2  平台对“智能体”的要求</w:t>
      </w:r>
    </w:p>
    <w:p>
      <w:pPr>
        <w:spacing w:before="0" w:after="120" w:line="360" w:lineRule="auto"/>
        <w:ind w:firstLine="480"/>
      </w:pPr>
      <w:r>
        <w:rPr>
          <w:rFonts w:ascii="Times New Roman" w:hAnsi="Times New Roman" w:eastAsia="宋体"/>
          <w:b w:val="0"/>
          <w:i w:val="0"/>
          <w:color w:val="1B1B1B"/>
          <w:sz w:val="24"/>
        </w:rPr>
        <w:t>梧桐平台遵循 ACPs（Agent Collaboration Protocols）v2.2.0 体系，对“什么算一个智能体”有一套完整要求：</w:t>
      </w:r>
    </w:p>
    <w:p>
      <w:pPr>
        <w:spacing w:before="0" w:after="100" w:line="348" w:lineRule="auto"/>
        <w:ind w:left="480" w:hanging="240"/>
      </w:pPr>
      <w:r>
        <w:rPr>
          <w:rFonts w:ascii="Times New Roman" w:hAnsi="Times New Roman" w:eastAsia="宋体"/>
          <w:b w:val="0"/>
          <w:i w:val="0"/>
          <w:color w:val="1B1B1B"/>
          <w:sz w:val="24"/>
        </w:rPr>
        <w:t>ACS（能力声明）：必须以结构化文档声明身份、提供方、端点、安全方案与技能清单，并通过平台注册审核；</w:t>
      </w:r>
    </w:p>
    <w:p>
      <w:pPr>
        <w:spacing w:before="0" w:after="100" w:line="348" w:lineRule="auto"/>
        <w:ind w:left="480" w:hanging="240"/>
      </w:pPr>
      <w:r>
        <w:rPr>
          <w:rFonts w:ascii="Times New Roman" w:hAnsi="Times New Roman" w:eastAsia="宋体"/>
          <w:b w:val="0"/>
          <w:i w:val="0"/>
          <w:color w:val="1B1B1B"/>
          <w:sz w:val="24"/>
        </w:rPr>
        <w:t>AIP（交互协议）：必须实现基于 JSON-RPC 2.0 的任务协议，响应 TaskCommand 并回传 TaskResult，状态机符合 accepted → working → awaiting-completion 的约定；</w:t>
      </w:r>
    </w:p>
    <w:p>
      <w:pPr>
        <w:spacing w:before="0" w:after="100" w:line="348" w:lineRule="auto"/>
        <w:ind w:left="480" w:hanging="240"/>
      </w:pPr>
      <w:r>
        <w:rPr>
          <w:rFonts w:ascii="Times New Roman" w:hAnsi="Times New Roman" w:eastAsia="宋体"/>
          <w:b w:val="0"/>
          <w:i w:val="0"/>
          <w:color w:val="1B1B1B"/>
          <w:sz w:val="24"/>
        </w:rPr>
        <w:t>AMP（监控协议）：必须按规范输出心跳、指标、访问、审计、消息、系统六类日志，其中心跳是平台判定智能体“是否在线”的唯一依据；</w:t>
      </w:r>
    </w:p>
    <w:p>
      <w:pPr>
        <w:spacing w:before="0" w:after="100" w:line="348" w:lineRule="auto"/>
        <w:ind w:left="480" w:hanging="240"/>
      </w:pPr>
      <w:r>
        <w:rPr>
          <w:rFonts w:ascii="Times New Roman" w:hAnsi="Times New Roman" w:eastAsia="宋体"/>
          <w:b w:val="0"/>
          <w:i w:val="0"/>
          <w:color w:val="1B1B1B"/>
          <w:sz w:val="24"/>
        </w:rPr>
        <w:t>安全：端点必须启用基于平台 CA 签发的 AIC 证书的双向 TLS 认证，且证书身份必须与报文中的发送方标识一致。</w:t>
      </w:r>
    </w:p>
    <w:p>
      <w:pPr>
        <w:spacing w:before="0" w:after="120" w:line="360" w:lineRule="auto"/>
        <w:ind w:firstLine="480"/>
      </w:pPr>
      <w:r>
        <w:rPr>
          <w:rFonts w:ascii="Times New Roman" w:hAnsi="Times New Roman" w:eastAsia="宋体"/>
          <w:b w:val="0"/>
          <w:i w:val="0"/>
          <w:color w:val="1B1B1B"/>
          <w:sz w:val="24"/>
        </w:rPr>
        <w:t>工作流本身并不具备这些能力——它只会响应百炼的应用调用。所以两者之间必须补一层，把平台的要求翻译成工作流能听懂的调用。这一层就是后面第 2、3 章讲的接入层。</w:t>
      </w:r>
    </w:p>
    <w:p>
      <w:pPr>
        <w:spacing w:before="280" w:after="160" w:line="312" w:lineRule="auto"/>
      </w:pPr>
      <w:r>
        <w:rPr>
          <w:rFonts w:ascii="Times New Roman" w:hAnsi="Times New Roman" w:eastAsia="黑体"/>
          <w:b/>
          <w:i w:val="0"/>
          <w:color w:val="1F3D5C"/>
          <w:sz w:val="27"/>
        </w:rPr>
        <w:t>1.3  当前状态</w:t>
      </w:r>
    </w:p>
    <w:tbl>
      <w:tblPr>
        <w:tblStyle w:val="TableGrid"/>
        <w:tblW w:type="auto" w:w="0"/>
        <w:jc w:val="center"/>
        <w:tblLook w:firstColumn="1" w:firstRow="1" w:lastColumn="0" w:lastRow="0" w:noHBand="0" w:noVBand="1" w:val="04A0"/>
      </w:tblPr>
      <w:tblGrid>
        <w:gridCol w:w="4366"/>
        <w:gridCol w:w="4366"/>
      </w:tblGrid>
      <w:tr>
        <w:tc>
          <w:tcPr>
            <w:tcW w:type="dxa" w:w="3969"/>
            <w:shd w:val="clear" w:color="auto" w:fill="DCE6F1"/>
          </w:tcPr>
          <w:p>
            <w:pPr>
              <w:spacing w:before="40" w:after="40" w:line="300" w:lineRule="auto"/>
            </w:pPr>
            <w:r/>
            <w:r>
              <w:rPr>
                <w:rFonts w:ascii="Times New Roman" w:hAnsi="Times New Roman" w:eastAsia="黑体"/>
                <w:b/>
                <w:i w:val="0"/>
                <w:color w:val="1F3D5C"/>
                <w:sz w:val="21"/>
              </w:rPr>
              <w:t>环节</w:t>
            </w:r>
          </w:p>
        </w:tc>
        <w:tc>
          <w:tcPr>
            <w:tcW w:type="dxa" w:w="4195"/>
            <w:shd w:val="clear" w:color="auto" w:fill="DCE6F1"/>
          </w:tcPr>
          <w:p>
            <w:pPr>
              <w:spacing w:before="40" w:after="40" w:line="300" w:lineRule="auto"/>
            </w:pPr>
            <w:r/>
            <w:r>
              <w:rPr>
                <w:rFonts w:ascii="Times New Roman" w:hAnsi="Times New Roman" w:eastAsia="黑体"/>
                <w:b/>
                <w:i w:val="0"/>
                <w:color w:val="1F3D5C"/>
                <w:sz w:val="21"/>
              </w:rPr>
              <w:t>状态</w:t>
            </w:r>
          </w:p>
        </w:tc>
      </w:tr>
      <w:tr>
        <w:tc>
          <w:tcPr>
            <w:tcW w:type="dxa" w:w="3969"/>
          </w:tcPr>
          <w:p>
            <w:pPr>
              <w:spacing w:before="40" w:after="40" w:line="300" w:lineRule="auto"/>
            </w:pPr>
            <w:r/>
            <w:r>
              <w:rPr>
                <w:rFonts w:ascii="Times New Roman" w:hAnsi="Times New Roman" w:eastAsia="宋体"/>
                <w:b w:val="0"/>
                <w:i w:val="0"/>
                <w:color w:val="1B1B1B"/>
                <w:sz w:val="21"/>
              </w:rPr>
              <w:t>接入层部署（四个常驻服务）</w:t>
            </w:r>
          </w:p>
        </w:tc>
        <w:tc>
          <w:tcPr>
            <w:tcW w:type="dxa" w:w="4195"/>
          </w:tcPr>
          <w:p>
            <w:pPr>
              <w:spacing w:before="40" w:after="40" w:line="300" w:lineRule="auto"/>
            </w:pPr>
            <w:r/>
            <w:r>
              <w:rPr>
                <w:rFonts w:ascii="Times New Roman" w:hAnsi="Times New Roman" w:eastAsia="宋体"/>
                <w:b w:val="0"/>
                <w:i w:val="0"/>
                <w:color w:val="1B1B1B"/>
                <w:sz w:val="21"/>
              </w:rPr>
              <w:t>已完成</w:t>
            </w:r>
          </w:p>
        </w:tc>
      </w:tr>
      <w:tr>
        <w:tc>
          <w:tcPr>
            <w:tcW w:type="dxa" w:w="3969"/>
          </w:tcPr>
          <w:p>
            <w:pPr>
              <w:spacing w:before="40" w:after="40" w:line="300" w:lineRule="auto"/>
            </w:pPr>
            <w:r/>
            <w:r>
              <w:rPr>
                <w:rFonts w:ascii="Times New Roman" w:hAnsi="Times New Roman" w:eastAsia="宋体"/>
                <w:b w:val="0"/>
                <w:i w:val="0"/>
                <w:color w:val="1B1B1B"/>
                <w:sz w:val="21"/>
              </w:rPr>
              <w:t>平台注册与审核</w:t>
            </w:r>
          </w:p>
        </w:tc>
        <w:tc>
          <w:tcPr>
            <w:tcW w:type="dxa" w:w="4195"/>
          </w:tcPr>
          <w:p>
            <w:pPr>
              <w:spacing w:before="40" w:after="40" w:line="300" w:lineRule="auto"/>
            </w:pPr>
            <w:r/>
            <w:r>
              <w:rPr>
                <w:rFonts w:ascii="Times New Roman" w:hAnsi="Times New Roman" w:eastAsia="宋体"/>
                <w:b w:val="0"/>
                <w:i w:val="0"/>
                <w:color w:val="1B1B1B"/>
                <w:sz w:val="21"/>
              </w:rPr>
              <w:t>已完成</w:t>
            </w:r>
          </w:p>
        </w:tc>
      </w:tr>
      <w:tr>
        <w:tc>
          <w:tcPr>
            <w:tcW w:type="dxa" w:w="3969"/>
          </w:tcPr>
          <w:p>
            <w:pPr>
              <w:spacing w:before="40" w:after="40" w:line="300" w:lineRule="auto"/>
            </w:pPr>
            <w:r/>
            <w:r>
              <w:rPr>
                <w:rFonts w:ascii="Times New Roman" w:hAnsi="Times New Roman" w:eastAsia="宋体"/>
                <w:b w:val="0"/>
                <w:i w:val="0"/>
                <w:color w:val="1B1B1B"/>
                <w:sz w:val="21"/>
              </w:rPr>
              <w:t>双向 TLS 与身份绑定</w:t>
            </w:r>
          </w:p>
        </w:tc>
        <w:tc>
          <w:tcPr>
            <w:tcW w:type="dxa" w:w="4195"/>
          </w:tcPr>
          <w:p>
            <w:pPr>
              <w:spacing w:before="40" w:after="40" w:line="300" w:lineRule="auto"/>
            </w:pPr>
            <w:r/>
            <w:r>
              <w:rPr>
                <w:rFonts w:ascii="Times New Roman" w:hAnsi="Times New Roman" w:eastAsia="宋体"/>
                <w:b w:val="0"/>
                <w:i w:val="0"/>
                <w:color w:val="1B1B1B"/>
                <w:sz w:val="21"/>
              </w:rPr>
              <w:t>已完成</w:t>
            </w:r>
          </w:p>
        </w:tc>
      </w:tr>
      <w:tr>
        <w:tc>
          <w:tcPr>
            <w:tcW w:type="dxa" w:w="3969"/>
          </w:tcPr>
          <w:p>
            <w:pPr>
              <w:spacing w:before="40" w:after="40" w:line="300" w:lineRule="auto"/>
            </w:pPr>
            <w:r/>
            <w:r>
              <w:rPr>
                <w:rFonts w:ascii="Times New Roman" w:hAnsi="Times New Roman" w:eastAsia="宋体"/>
                <w:b w:val="0"/>
                <w:i w:val="0"/>
                <w:color w:val="1B1B1B"/>
                <w:sz w:val="21"/>
              </w:rPr>
              <w:t>任务协议端到端</w:t>
            </w:r>
          </w:p>
        </w:tc>
        <w:tc>
          <w:tcPr>
            <w:tcW w:type="dxa" w:w="4195"/>
          </w:tcPr>
          <w:p>
            <w:pPr>
              <w:spacing w:before="40" w:after="40" w:line="300" w:lineRule="auto"/>
            </w:pPr>
            <w:r/>
            <w:r>
              <w:rPr>
                <w:rFonts w:ascii="Times New Roman" w:hAnsi="Times New Roman" w:eastAsia="宋体"/>
                <w:b w:val="0"/>
                <w:i w:val="0"/>
                <w:color w:val="1B1B1B"/>
                <w:sz w:val="21"/>
              </w:rPr>
              <w:t>已完成</w:t>
            </w:r>
          </w:p>
        </w:tc>
      </w:tr>
      <w:tr>
        <w:tc>
          <w:tcPr>
            <w:tcW w:type="dxa" w:w="3969"/>
          </w:tcPr>
          <w:p>
            <w:pPr>
              <w:spacing w:before="40" w:after="40" w:line="300" w:lineRule="auto"/>
            </w:pPr>
            <w:r/>
            <w:r>
              <w:rPr>
                <w:rFonts w:ascii="Times New Roman" w:hAnsi="Times New Roman" w:eastAsia="宋体"/>
                <w:b w:val="0"/>
                <w:i w:val="0"/>
                <w:color w:val="1B1B1B"/>
                <w:sz w:val="21"/>
              </w:rPr>
              <w:t>可观测性上报（心跳等）</w:t>
            </w:r>
          </w:p>
        </w:tc>
        <w:tc>
          <w:tcPr>
            <w:tcW w:type="dxa" w:w="4195"/>
          </w:tcPr>
          <w:p>
            <w:pPr>
              <w:spacing w:before="40" w:after="40" w:line="300" w:lineRule="auto"/>
            </w:pPr>
            <w:r/>
            <w:r>
              <w:rPr>
                <w:rFonts w:ascii="Times New Roman" w:hAnsi="Times New Roman" w:eastAsia="宋体"/>
                <w:b w:val="0"/>
                <w:i w:val="0"/>
                <w:color w:val="1B1B1B"/>
                <w:sz w:val="21"/>
              </w:rPr>
              <w:t>已完成，平台侧显示在线</w:t>
            </w:r>
          </w:p>
        </w:tc>
      </w:tr>
      <w:tr>
        <w:tc>
          <w:tcPr>
            <w:tcW w:type="dxa" w:w="3969"/>
          </w:tcPr>
          <w:p>
            <w:pPr>
              <w:spacing w:before="40" w:after="40" w:line="300" w:lineRule="auto"/>
            </w:pPr>
            <w:r/>
            <w:r>
              <w:rPr>
                <w:rFonts w:ascii="Times New Roman" w:hAnsi="Times New Roman" w:eastAsia="宋体"/>
                <w:b w:val="0"/>
                <w:i w:val="0"/>
                <w:color w:val="1B1B1B"/>
                <w:sz w:val="21"/>
              </w:rPr>
              <w:t>端到端协作实测</w:t>
            </w:r>
          </w:p>
        </w:tc>
        <w:tc>
          <w:tcPr>
            <w:tcW w:type="dxa" w:w="4195"/>
          </w:tcPr>
          <w:p>
            <w:pPr>
              <w:spacing w:before="40" w:after="40" w:line="300" w:lineRule="auto"/>
            </w:pPr>
            <w:r/>
            <w:r>
              <w:rPr>
                <w:rFonts w:ascii="Times New Roman" w:hAnsi="Times New Roman" w:eastAsia="宋体"/>
                <w:b w:val="0"/>
                <w:i w:val="0"/>
                <w:color w:val="1B1B1B"/>
                <w:sz w:val="21"/>
              </w:rPr>
              <w:t>已完成，能产出符合需求的结果</w:t>
            </w:r>
          </w:p>
        </w:tc>
      </w:tr>
      <w:tr>
        <w:tc>
          <w:tcPr>
            <w:tcW w:type="dxa" w:w="3969"/>
          </w:tcPr>
          <w:p>
            <w:pPr>
              <w:spacing w:before="40" w:after="40" w:line="300" w:lineRule="auto"/>
            </w:pPr>
            <w:r/>
            <w:r>
              <w:rPr>
                <w:rFonts w:ascii="Times New Roman" w:hAnsi="Times New Roman" w:eastAsia="宋体"/>
                <w:b w:val="0"/>
                <w:i w:val="0"/>
                <w:color w:val="1B1B1B"/>
                <w:sz w:val="21"/>
              </w:rPr>
              <w:t>工作流性能优化</w:t>
            </w:r>
          </w:p>
        </w:tc>
        <w:tc>
          <w:tcPr>
            <w:tcW w:type="dxa" w:w="4195"/>
          </w:tcPr>
          <w:p>
            <w:pPr>
              <w:spacing w:before="40" w:after="40" w:line="300" w:lineRule="auto"/>
            </w:pPr>
            <w:r/>
            <w:r>
              <w:rPr>
                <w:rFonts w:ascii="Times New Roman" w:hAnsi="Times New Roman" w:eastAsia="宋体"/>
                <w:b w:val="0"/>
                <w:i w:val="0"/>
                <w:color w:val="1B1B1B"/>
                <w:sz w:val="21"/>
              </w:rPr>
              <w:t>进行中，需要一起改（见第 8 章）</w:t>
            </w:r>
          </w:p>
        </w:tc>
      </w:tr>
    </w:tbl>
    <w:p>
      <w:pPr>
        <w:spacing w:after="40"/>
      </w:pPr>
    </w:p>
    <w:p>
      <w:pPr>
        <w:spacing w:before="80" w:after="80"/>
        <w:jc w:val="center"/>
      </w:pPr>
      <w:r>
        <w:rPr>
          <w:rFonts w:ascii="Times New Roman" w:hAnsi="Times New Roman" w:eastAsia="黑体"/>
          <w:b w:val="0"/>
          <w:i w:val="0"/>
          <w:color w:val="606A74"/>
          <w:sz w:val="21"/>
        </w:rPr>
        <w:t>表 1-1  当前进度</w:t>
      </w:r>
    </w:p>
    <w:p>
      <w:pPr>
        <w:spacing w:before="400" w:after="200" w:line="312" w:lineRule="auto"/>
      </w:pPr>
      <w:r>
        <w:rPr>
          <w:rFonts w:ascii="Times New Roman" w:hAnsi="Times New Roman" w:eastAsia="黑体"/>
          <w:b/>
          <w:i w:val="0"/>
          <w:color w:val="1F3D5C"/>
          <w:sz w:val="32"/>
        </w:rPr>
        <w:t>2  接入总体结构</w:t>
      </w:r>
    </w:p>
    <w:p>
      <w:pPr>
        <w:spacing w:before="280" w:after="160" w:line="312" w:lineRule="auto"/>
      </w:pPr>
      <w:r>
        <w:rPr>
          <w:rFonts w:ascii="Times New Roman" w:hAnsi="Times New Roman" w:eastAsia="黑体"/>
          <w:b/>
          <w:i w:val="0"/>
          <w:color w:val="1F3D5C"/>
          <w:sz w:val="27"/>
        </w:rPr>
        <w:t>2.1  三侧分工</w:t>
      </w:r>
    </w:p>
    <w:tbl>
      <w:tblPr>
        <w:tblStyle w:val="TableGrid"/>
        <w:tblW w:type="auto" w:w="0"/>
        <w:jc w:val="center"/>
        <w:tblLook w:firstColumn="1" w:firstRow="1" w:lastColumn="0" w:lastRow="0" w:noHBand="0" w:noVBand="1" w:val="04A0"/>
      </w:tblPr>
      <w:tblGrid>
        <w:gridCol w:w="2911"/>
        <w:gridCol w:w="2911"/>
        <w:gridCol w:w="2911"/>
      </w:tblGrid>
      <w:tr>
        <w:tc>
          <w:tcPr>
            <w:tcW w:type="dxa" w:w="2041"/>
            <w:shd w:val="clear" w:color="auto" w:fill="DCE6F1"/>
          </w:tcPr>
          <w:p>
            <w:pPr>
              <w:spacing w:before="40" w:after="40" w:line="300" w:lineRule="auto"/>
            </w:pPr>
            <w:r/>
            <w:r>
              <w:rPr>
                <w:rFonts w:ascii="Times New Roman" w:hAnsi="Times New Roman" w:eastAsia="黑体"/>
                <w:b/>
                <w:i w:val="0"/>
                <w:color w:val="1F3D5C"/>
                <w:sz w:val="21"/>
              </w:rPr>
              <w:t>侧</w:t>
            </w:r>
          </w:p>
        </w:tc>
        <w:tc>
          <w:tcPr>
            <w:tcW w:type="dxa" w:w="4762"/>
            <w:shd w:val="clear" w:color="auto" w:fill="DCE6F1"/>
          </w:tcPr>
          <w:p>
            <w:pPr>
              <w:spacing w:before="40" w:after="40" w:line="300" w:lineRule="auto"/>
            </w:pPr>
            <w:r/>
            <w:r>
              <w:rPr>
                <w:rFonts w:ascii="Times New Roman" w:hAnsi="Times New Roman" w:eastAsia="黑体"/>
                <w:b/>
                <w:i w:val="0"/>
                <w:color w:val="1F3D5C"/>
                <w:sz w:val="21"/>
              </w:rPr>
              <w:t>角色</w:t>
            </w:r>
          </w:p>
        </w:tc>
        <w:tc>
          <w:tcPr>
            <w:tcW w:type="dxa" w:w="1361"/>
            <w:shd w:val="clear" w:color="auto" w:fill="DCE6F1"/>
          </w:tcPr>
          <w:p>
            <w:pPr>
              <w:spacing w:before="40" w:after="40" w:line="300" w:lineRule="auto"/>
            </w:pPr>
            <w:r/>
            <w:r>
              <w:rPr>
                <w:rFonts w:ascii="Times New Roman" w:hAnsi="Times New Roman" w:eastAsia="黑体"/>
                <w:b/>
                <w:i w:val="0"/>
                <w:color w:val="1F3D5C"/>
                <w:sz w:val="21"/>
              </w:rPr>
              <w:t>是否改动</w:t>
            </w:r>
          </w:p>
        </w:tc>
      </w:tr>
      <w:tr>
        <w:tc>
          <w:tcPr>
            <w:tcW w:type="dxa" w:w="2041"/>
          </w:tcPr>
          <w:p>
            <w:pPr>
              <w:spacing w:before="40" w:after="40" w:line="300" w:lineRule="auto"/>
            </w:pPr>
            <w:r/>
            <w:r>
              <w:rPr>
                <w:rFonts w:ascii="Times New Roman" w:hAnsi="Times New Roman" w:eastAsia="宋体"/>
                <w:b w:val="0"/>
                <w:i w:val="0"/>
                <w:color w:val="1B1B1B"/>
                <w:sz w:val="21"/>
              </w:rPr>
              <w:t>阿里云百炼平台</w:t>
            </w:r>
          </w:p>
        </w:tc>
        <w:tc>
          <w:tcPr>
            <w:tcW w:type="dxa" w:w="4762"/>
          </w:tcPr>
          <w:p>
            <w:pPr>
              <w:spacing w:before="40" w:after="40" w:line="300" w:lineRule="auto"/>
            </w:pPr>
            <w:r/>
            <w:r>
              <w:rPr>
                <w:rFonts w:ascii="Times New Roman" w:hAnsi="Times New Roman" w:eastAsia="宋体"/>
                <w:b w:val="0"/>
                <w:i w:val="0"/>
                <w:color w:val="1B1B1B"/>
                <w:sz w:val="21"/>
              </w:rPr>
              <w:t>能力提供方（可视化工作流 + 应用调用 API，DashScope 鉴权）</w:t>
            </w:r>
          </w:p>
        </w:tc>
        <w:tc>
          <w:tcPr>
            <w:tcW w:type="dxa" w:w="1361"/>
          </w:tcPr>
          <w:p>
            <w:pPr>
              <w:spacing w:before="40" w:after="40" w:line="300" w:lineRule="auto"/>
            </w:pPr>
            <w:r/>
            <w:r>
              <w:rPr>
                <w:rFonts w:ascii="Times New Roman" w:hAnsi="Times New Roman" w:eastAsia="宋体"/>
                <w:b w:val="0"/>
                <w:i w:val="0"/>
                <w:color w:val="1B1B1B"/>
                <w:sz w:val="21"/>
              </w:rPr>
              <w:t>未改动</w:t>
            </w:r>
          </w:p>
        </w:tc>
      </w:tr>
      <w:tr>
        <w:tc>
          <w:tcPr>
            <w:tcW w:type="dxa" w:w="2041"/>
          </w:tcPr>
          <w:p>
            <w:pPr>
              <w:spacing w:before="40" w:after="40" w:line="300" w:lineRule="auto"/>
            </w:pPr>
            <w:r/>
            <w:r>
              <w:rPr>
                <w:rFonts w:ascii="Times New Roman" w:hAnsi="Times New Roman" w:eastAsia="宋体"/>
                <w:b w:val="0"/>
                <w:i w:val="0"/>
                <w:color w:val="1B1B1B"/>
                <w:sz w:val="21"/>
              </w:rPr>
              <w:t>自有云服务器</w:t>
            </w:r>
          </w:p>
        </w:tc>
        <w:tc>
          <w:tcPr>
            <w:tcW w:type="dxa" w:w="4762"/>
          </w:tcPr>
          <w:p>
            <w:pPr>
              <w:spacing w:before="40" w:after="40" w:line="300" w:lineRule="auto"/>
            </w:pPr>
            <w:r/>
            <w:r>
              <w:rPr>
                <w:rFonts w:ascii="Times New Roman" w:hAnsi="Times New Roman" w:eastAsia="宋体"/>
                <w:b w:val="0"/>
                <w:i w:val="0"/>
                <w:color w:val="1B1B1B"/>
                <w:sz w:val="21"/>
              </w:rPr>
              <w:t>接入层：协议适配、身份凭证、可观测性上报、运行治理</w:t>
            </w:r>
          </w:p>
        </w:tc>
        <w:tc>
          <w:tcPr>
            <w:tcW w:type="dxa" w:w="1361"/>
          </w:tcPr>
          <w:p>
            <w:pPr>
              <w:spacing w:before="40" w:after="40" w:line="300" w:lineRule="auto"/>
            </w:pPr>
            <w:r/>
            <w:r>
              <w:rPr>
                <w:rFonts w:ascii="Times New Roman" w:hAnsi="Times New Roman" w:eastAsia="宋体"/>
                <w:b w:val="0"/>
                <w:i w:val="0"/>
                <w:color w:val="1B1B1B"/>
                <w:sz w:val="21"/>
              </w:rPr>
              <w:t>全部新增</w:t>
            </w:r>
          </w:p>
        </w:tc>
      </w:tr>
      <w:tr>
        <w:tc>
          <w:tcPr>
            <w:tcW w:type="dxa" w:w="2041"/>
          </w:tcPr>
          <w:p>
            <w:pPr>
              <w:spacing w:before="40" w:after="40" w:line="300" w:lineRule="auto"/>
            </w:pPr>
            <w:r/>
            <w:r>
              <w:rPr>
                <w:rFonts w:ascii="Times New Roman" w:hAnsi="Times New Roman" w:eastAsia="宋体"/>
                <w:b w:val="0"/>
                <w:i w:val="0"/>
                <w:color w:val="1B1B1B"/>
                <w:sz w:val="21"/>
              </w:rPr>
              <w:t>梧桐智能体互联平台</w:t>
            </w:r>
          </w:p>
        </w:tc>
        <w:tc>
          <w:tcPr>
            <w:tcW w:type="dxa" w:w="4762"/>
          </w:tcPr>
          <w:p>
            <w:pPr>
              <w:spacing w:before="40" w:after="40" w:line="300" w:lineRule="auto"/>
            </w:pPr>
            <w:r/>
            <w:r>
              <w:rPr>
                <w:rFonts w:ascii="Times New Roman" w:hAnsi="Times New Roman" w:eastAsia="宋体"/>
                <w:b w:val="0"/>
                <w:i w:val="0"/>
                <w:color w:val="1B1B1B"/>
                <w:sz w:val="21"/>
              </w:rPr>
              <w:t>注册服务、CA 服务、发现服务、日志通道、协作编排</w:t>
            </w:r>
          </w:p>
        </w:tc>
        <w:tc>
          <w:tcPr>
            <w:tcW w:type="dxa" w:w="1361"/>
          </w:tcPr>
          <w:p>
            <w:pPr>
              <w:spacing w:before="40" w:after="40" w:line="300" w:lineRule="auto"/>
            </w:pPr>
            <w:r/>
            <w:r>
              <w:rPr>
                <w:rFonts w:ascii="Times New Roman" w:hAnsi="Times New Roman" w:eastAsia="宋体"/>
                <w:b w:val="0"/>
                <w:i w:val="0"/>
                <w:color w:val="1B1B1B"/>
                <w:sz w:val="21"/>
              </w:rPr>
              <w:t>未改动</w:t>
            </w:r>
          </w:p>
        </w:tc>
      </w:tr>
    </w:tbl>
    <w:p>
      <w:pPr>
        <w:spacing w:after="40"/>
      </w:pPr>
    </w:p>
    <w:p>
      <w:pPr>
        <w:spacing w:before="80" w:after="80"/>
        <w:jc w:val="center"/>
      </w:pPr>
      <w:r>
        <w:rPr>
          <w:rFonts w:ascii="Times New Roman" w:hAnsi="Times New Roman" w:eastAsia="黑体"/>
          <w:b w:val="0"/>
          <w:i w:val="0"/>
          <w:color w:val="606A74"/>
          <w:sz w:val="21"/>
        </w:rPr>
        <w:t>表 2-1  三侧分工与改动边界</w:t>
      </w:r>
    </w:p>
    <w:p>
      <w:pPr>
        <w:spacing w:before="280" w:after="160" w:line="312" w:lineRule="auto"/>
      </w:pPr>
      <w:r>
        <w:rPr>
          <w:rFonts w:ascii="Times New Roman" w:hAnsi="Times New Roman" w:eastAsia="黑体"/>
          <w:b/>
          <w:i w:val="0"/>
          <w:color w:val="1F3D5C"/>
          <w:sz w:val="27"/>
        </w:rPr>
        <w:t>2.2  服务器上跑了哪四样东西</w:t>
      </w:r>
    </w:p>
    <w:tbl>
      <w:tblPr>
        <w:tblStyle w:val="TableGrid"/>
        <w:tblW w:type="auto" w:w="0"/>
        <w:jc w:val="center"/>
        <w:tblLook w:firstColumn="1" w:firstRow="1" w:lastColumn="0" w:lastRow="0" w:noHBand="0" w:noVBand="1" w:val="04A0"/>
      </w:tblPr>
      <w:tblGrid>
        <w:gridCol w:w="2911"/>
        <w:gridCol w:w="2911"/>
        <w:gridCol w:w="2911"/>
      </w:tblGrid>
      <w:tr>
        <w:tc>
          <w:tcPr>
            <w:tcW w:type="dxa" w:w="1814"/>
            <w:shd w:val="clear" w:color="auto" w:fill="DCE6F1"/>
          </w:tcPr>
          <w:p>
            <w:pPr>
              <w:spacing w:before="40" w:after="40" w:line="300" w:lineRule="auto"/>
            </w:pPr>
            <w:r/>
            <w:r>
              <w:rPr>
                <w:rFonts w:ascii="Times New Roman" w:hAnsi="Times New Roman" w:eastAsia="黑体"/>
                <w:b/>
                <w:i w:val="0"/>
                <w:color w:val="1F3D5C"/>
                <w:sz w:val="21"/>
              </w:rPr>
              <w:t>组件</w:t>
            </w:r>
          </w:p>
        </w:tc>
        <w:tc>
          <w:tcPr>
            <w:tcW w:type="dxa" w:w="2381"/>
            <w:shd w:val="clear" w:color="auto" w:fill="DCE6F1"/>
          </w:tcPr>
          <w:p>
            <w:pPr>
              <w:spacing w:before="40" w:after="40" w:line="300" w:lineRule="auto"/>
            </w:pPr>
            <w:r/>
            <w:r>
              <w:rPr>
                <w:rFonts w:ascii="Times New Roman" w:hAnsi="Times New Roman" w:eastAsia="黑体"/>
                <w:b/>
                <w:i w:val="0"/>
                <w:color w:val="1F3D5C"/>
                <w:sz w:val="21"/>
              </w:rPr>
              <w:t>职责</w:t>
            </w:r>
          </w:p>
        </w:tc>
        <w:tc>
          <w:tcPr>
            <w:tcW w:type="dxa" w:w="3969"/>
            <w:shd w:val="clear" w:color="auto" w:fill="DCE6F1"/>
          </w:tcPr>
          <w:p>
            <w:pPr>
              <w:spacing w:before="40" w:after="40" w:line="300" w:lineRule="auto"/>
            </w:pPr>
            <w:r/>
            <w:r>
              <w:rPr>
                <w:rFonts w:ascii="Times New Roman" w:hAnsi="Times New Roman" w:eastAsia="黑体"/>
                <w:b/>
                <w:i w:val="0"/>
                <w:color w:val="1F3D5C"/>
                <w:sz w:val="21"/>
              </w:rPr>
              <w:t>关键设计</w:t>
            </w:r>
          </w:p>
        </w:tc>
      </w:tr>
      <w:tr>
        <w:tc>
          <w:tcPr>
            <w:tcW w:type="dxa" w:w="1814"/>
          </w:tcPr>
          <w:p>
            <w:pPr>
              <w:spacing w:before="40" w:after="40" w:line="300" w:lineRule="auto"/>
            </w:pPr>
            <w:r/>
            <w:r>
              <w:rPr>
                <w:rFonts w:ascii="Times New Roman" w:hAnsi="Times New Roman" w:eastAsia="宋体"/>
                <w:b w:val="0"/>
                <w:i w:val="0"/>
                <w:color w:val="1B1B1B"/>
                <w:sz w:val="21"/>
              </w:rPr>
              <w:t>bailian-shim</w:t>
              <w:br/>
              <w:t>百炼适配层</w:t>
            </w:r>
          </w:p>
        </w:tc>
        <w:tc>
          <w:tcPr>
            <w:tcW w:type="dxa" w:w="2381"/>
          </w:tcPr>
          <w:p>
            <w:pPr>
              <w:spacing w:before="40" w:after="40" w:line="300" w:lineRule="auto"/>
            </w:pPr>
            <w:r/>
            <w:r>
              <w:rPr>
                <w:rFonts w:ascii="Times New Roman" w:hAnsi="Times New Roman" w:eastAsia="宋体"/>
                <w:b w:val="0"/>
                <w:i w:val="0"/>
                <w:color w:val="1B1B1B"/>
                <w:sz w:val="21"/>
              </w:rPr>
              <w:t>把平台侧的能力调用翻译为百炼应用调用</w:t>
            </w:r>
          </w:p>
        </w:tc>
        <w:tc>
          <w:tcPr>
            <w:tcW w:type="dxa" w:w="3969"/>
          </w:tcPr>
          <w:p>
            <w:pPr>
              <w:spacing w:before="40" w:after="40" w:line="300" w:lineRule="auto"/>
            </w:pPr>
            <w:r/>
            <w:r>
              <w:rPr>
                <w:rFonts w:ascii="Times New Roman" w:hAnsi="Times New Roman" w:eastAsia="宋体"/>
                <w:b w:val="0"/>
                <w:i w:val="0"/>
                <w:color w:val="1B1B1B"/>
                <w:sz w:val="21"/>
              </w:rPr>
              <w:t>对外暴露 OpenAI 兼容的对话补全接口；对内调用百炼应用调用接口；输入字段名、消息组装模式、会话复用均可配置</w:t>
            </w:r>
          </w:p>
        </w:tc>
      </w:tr>
      <w:tr>
        <w:tc>
          <w:tcPr>
            <w:tcW w:type="dxa" w:w="1814"/>
          </w:tcPr>
          <w:p>
            <w:pPr>
              <w:spacing w:before="40" w:after="40" w:line="300" w:lineRule="auto"/>
            </w:pPr>
            <w:r/>
            <w:r>
              <w:rPr>
                <w:rFonts w:ascii="Times New Roman" w:hAnsi="Times New Roman" w:eastAsia="宋体"/>
                <w:b w:val="0"/>
                <w:i w:val="0"/>
                <w:color w:val="1B1B1B"/>
                <w:sz w:val="21"/>
              </w:rPr>
              <w:t>acps-agent</w:t>
              <w:br/>
              <w:t>ACPs 智能体</w:t>
            </w:r>
          </w:p>
        </w:tc>
        <w:tc>
          <w:tcPr>
            <w:tcW w:type="dxa" w:w="2381"/>
          </w:tcPr>
          <w:p>
            <w:pPr>
              <w:spacing w:before="40" w:after="40" w:line="300" w:lineRule="auto"/>
            </w:pPr>
            <w:r/>
            <w:r>
              <w:rPr>
                <w:rFonts w:ascii="Times New Roman" w:hAnsi="Times New Roman" w:eastAsia="宋体"/>
                <w:b w:val="0"/>
                <w:i w:val="0"/>
                <w:color w:val="1B1B1B"/>
                <w:sz w:val="21"/>
              </w:rPr>
              <w:t>ACS 能力声明的运行时载体</w:t>
            </w:r>
          </w:p>
        </w:tc>
        <w:tc>
          <w:tcPr>
            <w:tcW w:type="dxa" w:w="3969"/>
          </w:tcPr>
          <w:p>
            <w:pPr>
              <w:spacing w:before="40" w:after="40" w:line="300" w:lineRule="auto"/>
            </w:pPr>
            <w:r/>
            <w:r>
              <w:rPr>
                <w:rFonts w:ascii="Times New Roman" w:hAnsi="Times New Roman" w:eastAsia="宋体"/>
                <w:b w:val="0"/>
                <w:i w:val="0"/>
                <w:color w:val="1B1B1B"/>
                <w:sz w:val="21"/>
              </w:rPr>
              <w:t>三段式处理流水线（判定 → 抽取 → 产出）；mTLS 端点；任务状态机；并发与任务生命周期治理</w:t>
            </w:r>
          </w:p>
        </w:tc>
      </w:tr>
      <w:tr>
        <w:tc>
          <w:tcPr>
            <w:tcW w:type="dxa" w:w="1814"/>
          </w:tcPr>
          <w:p>
            <w:pPr>
              <w:spacing w:before="40" w:after="40" w:line="300" w:lineRule="auto"/>
            </w:pPr>
            <w:r/>
            <w:r>
              <w:rPr>
                <w:rFonts w:ascii="Times New Roman" w:hAnsi="Times New Roman" w:eastAsia="宋体"/>
                <w:b w:val="0"/>
                <w:i w:val="0"/>
                <w:color w:val="1B1B1B"/>
                <w:sz w:val="21"/>
              </w:rPr>
              <w:t>amp-forwarder</w:t>
              <w:br/>
              <w:t>AMP 转发器</w:t>
            </w:r>
          </w:p>
        </w:tc>
        <w:tc>
          <w:tcPr>
            <w:tcW w:type="dxa" w:w="2381"/>
          </w:tcPr>
          <w:p>
            <w:pPr>
              <w:spacing w:before="40" w:after="40" w:line="300" w:lineRule="auto"/>
            </w:pPr>
            <w:r/>
            <w:r>
              <w:rPr>
                <w:rFonts w:ascii="Times New Roman" w:hAnsi="Times New Roman" w:eastAsia="宋体"/>
                <w:b w:val="0"/>
                <w:i w:val="0"/>
                <w:color w:val="1B1B1B"/>
                <w:sz w:val="21"/>
              </w:rPr>
              <w:t>把本地日志投递到平台日志通道</w:t>
            </w:r>
          </w:p>
        </w:tc>
        <w:tc>
          <w:tcPr>
            <w:tcW w:type="dxa" w:w="3969"/>
          </w:tcPr>
          <w:p>
            <w:pPr>
              <w:spacing w:before="40" w:after="40" w:line="300" w:lineRule="auto"/>
            </w:pPr>
            <w:r/>
            <w:r>
              <w:rPr>
                <w:rFonts w:ascii="Times New Roman" w:hAnsi="Times New Roman" w:eastAsia="宋体"/>
                <w:b w:val="0"/>
                <w:i w:val="0"/>
                <w:color w:val="1B1B1B"/>
                <w:sz w:val="21"/>
              </w:rPr>
              <w:t>按日志文件名路由到对应主题；每个文件维护持久化读取偏移量，重启不重复投递</w:t>
            </w:r>
          </w:p>
        </w:tc>
      </w:tr>
      <w:tr>
        <w:tc>
          <w:tcPr>
            <w:tcW w:type="dxa" w:w="1814"/>
          </w:tcPr>
          <w:p>
            <w:pPr>
              <w:spacing w:before="40" w:after="40" w:line="300" w:lineRule="auto"/>
            </w:pPr>
            <w:r/>
            <w:r>
              <w:rPr>
                <w:rFonts w:ascii="Times New Roman" w:hAnsi="Times New Roman" w:eastAsia="宋体"/>
                <w:b w:val="0"/>
                <w:i w:val="0"/>
                <w:color w:val="1B1B1B"/>
                <w:sz w:val="21"/>
              </w:rPr>
              <w:t>身份与凭证</w:t>
            </w:r>
          </w:p>
        </w:tc>
        <w:tc>
          <w:tcPr>
            <w:tcW w:type="dxa" w:w="2381"/>
          </w:tcPr>
          <w:p>
            <w:pPr>
              <w:spacing w:before="40" w:after="40" w:line="300" w:lineRule="auto"/>
            </w:pPr>
            <w:r/>
            <w:r>
              <w:rPr>
                <w:rFonts w:ascii="Times New Roman" w:hAnsi="Times New Roman" w:eastAsia="宋体"/>
                <w:b w:val="0"/>
                <w:i w:val="0"/>
                <w:color w:val="1B1B1B"/>
                <w:sz w:val="21"/>
              </w:rPr>
              <w:t>平台签发的 AIC 证书</w:t>
            </w:r>
          </w:p>
        </w:tc>
        <w:tc>
          <w:tcPr>
            <w:tcW w:type="dxa" w:w="3969"/>
          </w:tcPr>
          <w:p>
            <w:pPr>
              <w:spacing w:before="40" w:after="40" w:line="300" w:lineRule="auto"/>
            </w:pPr>
            <w:r/>
            <w:r>
              <w:rPr>
                <w:rFonts w:ascii="Times New Roman" w:hAnsi="Times New Roman" w:eastAsia="宋体"/>
                <w:b w:val="0"/>
                <w:i w:val="0"/>
                <w:color w:val="1B1B1B"/>
                <w:sz w:val="21"/>
              </w:rPr>
              <w:t>服务端证书与客户端证书分离，分别用于“证明本智能体是服务端”与“本智能体作为调用方”</w:t>
            </w:r>
          </w:p>
        </w:tc>
      </w:tr>
    </w:tbl>
    <w:p>
      <w:pPr>
        <w:spacing w:after="40"/>
      </w:pPr>
    </w:p>
    <w:p>
      <w:pPr>
        <w:spacing w:before="80" w:after="80"/>
        <w:jc w:val="center"/>
      </w:pPr>
      <w:r>
        <w:rPr>
          <w:rFonts w:ascii="Times New Roman" w:hAnsi="Times New Roman" w:eastAsia="黑体"/>
          <w:b w:val="0"/>
          <w:i w:val="0"/>
          <w:color w:val="606A74"/>
          <w:sz w:val="21"/>
        </w:rPr>
        <w:t>表 2-2  接入层四个组件</w:t>
      </w:r>
    </w:p>
    <w:p>
      <w:pPr>
        <w:spacing w:before="0" w:after="120" w:line="360" w:lineRule="auto"/>
        <w:ind w:firstLine="480"/>
      </w:pPr>
      <w:r>
        <w:rPr>
          <w:rFonts w:ascii="Times New Roman" w:hAnsi="Times New Roman" w:eastAsia="宋体"/>
          <w:b w:val="0"/>
          <w:i w:val="0"/>
          <w:color w:val="1B1B1B"/>
          <w:sz w:val="24"/>
        </w:rPr>
        <w:t>四个组件都配成开机自启、异常自动重启的常驻服务，其中还有一个每日定时任务用于清理累积的历史任务（原因见第 4 章 P9）。</w:t>
      </w:r>
    </w:p>
    <w:p>
      <w:pPr>
        <w:spacing w:before="400" w:after="200" w:line="312" w:lineRule="auto"/>
      </w:pPr>
      <w:r>
        <w:rPr>
          <w:rFonts w:ascii="Times New Roman" w:hAnsi="Times New Roman" w:eastAsia="黑体"/>
          <w:b/>
          <w:i w:val="0"/>
          <w:color w:val="1F3D5C"/>
          <w:sz w:val="32"/>
        </w:rPr>
        <w:t>3  接入做了哪五步</w:t>
      </w:r>
    </w:p>
    <w:p>
      <w:pPr>
        <w:spacing w:before="280" w:after="160" w:line="312" w:lineRule="auto"/>
      </w:pPr>
      <w:r>
        <w:rPr>
          <w:rFonts w:ascii="Times New Roman" w:hAnsi="Times New Roman" w:eastAsia="黑体"/>
          <w:b/>
          <w:i w:val="0"/>
          <w:color w:val="1F3D5C"/>
          <w:sz w:val="27"/>
        </w:rPr>
        <w:t>3.1  第一步：注册与身份（AIC）</w:t>
      </w:r>
    </w:p>
    <w:p>
      <w:pPr>
        <w:spacing w:before="0" w:after="120" w:line="360" w:lineRule="auto"/>
        <w:ind w:firstLine="480"/>
      </w:pPr>
      <w:r>
        <w:rPr>
          <w:rFonts w:ascii="Times New Roman" w:hAnsi="Times New Roman" w:eastAsia="宋体"/>
          <w:b w:val="0"/>
          <w:i w:val="0"/>
          <w:color w:val="1B1B1B"/>
          <w:sz w:val="24"/>
        </w:rPr>
        <w:t>在平台注册智能体，提交主体信息（名称、版本、提供方、职能描述、能力范围），由平台审核后分配智能体身份码 AIC。AIC 是后续所有环节的主键：证书主体名、报文的发送方标识、ACS 的 aic 字段、日志的 aic 字段都必须与之一致。</w:t>
      </w:r>
    </w:p>
    <w:p>
      <w:pPr>
        <w:spacing w:before="0" w:after="120" w:line="360" w:lineRule="auto"/>
        <w:ind w:firstLine="480"/>
      </w:pPr>
      <w:r>
        <w:rPr>
          <w:rFonts w:ascii="Times New Roman" w:hAnsi="Times New Roman" w:eastAsia="宋体"/>
          <w:b w:val="0"/>
          <w:i w:val="0"/>
          <w:color w:val="1B1B1B"/>
          <w:sz w:val="24"/>
        </w:rPr>
        <w:t>踩过的点：ACS 里的 aic 字段必须和平台分配的值逐字符一致。不一致时表现只是“请求被拒绝”，不容易直接看出原因。</w:t>
      </w:r>
    </w:p>
    <w:p>
      <w:pPr>
        <w:spacing w:before="280" w:after="160" w:line="312" w:lineRule="auto"/>
      </w:pPr>
      <w:r>
        <w:rPr>
          <w:rFonts w:ascii="Times New Roman" w:hAnsi="Times New Roman" w:eastAsia="黑体"/>
          <w:b/>
          <w:i w:val="0"/>
          <w:color w:val="1F3D5C"/>
          <w:sz w:val="27"/>
        </w:rPr>
        <w:t>3.2  第二步：能力声明（ACS）</w:t>
      </w:r>
    </w:p>
    <w:p>
      <w:pPr>
        <w:spacing w:before="0" w:after="120" w:line="360" w:lineRule="auto"/>
        <w:ind w:firstLine="480"/>
      </w:pPr>
      <w:r>
        <w:rPr>
          <w:rFonts w:ascii="Times New Roman" w:hAnsi="Times New Roman" w:eastAsia="宋体"/>
          <w:b w:val="0"/>
          <w:i w:val="0"/>
          <w:color w:val="1B1B1B"/>
          <w:sz w:val="24"/>
        </w:rPr>
        <w:t>ACS 用平台规范的结构化格式，声明三层内容：身份与提供方信息、端点与安全方案、技能清单。一共声明了 5 项技能：</w:t>
      </w:r>
    </w:p>
    <w:tbl>
      <w:tblPr>
        <w:tblStyle w:val="TableGrid"/>
        <w:tblW w:type="auto" w:w="0"/>
        <w:jc w:val="center"/>
        <w:tblLook w:firstColumn="1" w:firstRow="1" w:lastColumn="0" w:lastRow="0" w:noHBand="0" w:noVBand="1" w:val="04A0"/>
      </w:tblPr>
      <w:tblGrid>
        <w:gridCol w:w="2911"/>
        <w:gridCol w:w="2911"/>
        <w:gridCol w:w="2911"/>
      </w:tblGrid>
      <w:tr>
        <w:tc>
          <w:tcPr>
            <w:tcW w:type="dxa" w:w="3628"/>
            <w:shd w:val="clear" w:color="auto" w:fill="DCE6F1"/>
          </w:tcPr>
          <w:p>
            <w:pPr>
              <w:spacing w:before="40" w:after="40" w:line="300" w:lineRule="auto"/>
            </w:pPr>
            <w:r/>
            <w:r>
              <w:rPr>
                <w:rFonts w:ascii="Times New Roman" w:hAnsi="Times New Roman" w:eastAsia="黑体"/>
                <w:b/>
                <w:i w:val="0"/>
                <w:color w:val="1F3D5C"/>
                <w:sz w:val="21"/>
              </w:rPr>
              <w:t>技能标识</w:t>
            </w:r>
          </w:p>
        </w:tc>
        <w:tc>
          <w:tcPr>
            <w:tcW w:type="dxa" w:w="1701"/>
            <w:shd w:val="clear" w:color="auto" w:fill="DCE6F1"/>
          </w:tcPr>
          <w:p>
            <w:pPr>
              <w:spacing w:before="40" w:after="40" w:line="300" w:lineRule="auto"/>
            </w:pPr>
            <w:r/>
            <w:r>
              <w:rPr>
                <w:rFonts w:ascii="Times New Roman" w:hAnsi="Times New Roman" w:eastAsia="黑体"/>
                <w:b/>
                <w:i w:val="0"/>
                <w:color w:val="1F3D5C"/>
                <w:sz w:val="21"/>
              </w:rPr>
              <w:t>技能名称</w:t>
            </w:r>
          </w:p>
        </w:tc>
        <w:tc>
          <w:tcPr>
            <w:tcW w:type="dxa" w:w="2835"/>
            <w:shd w:val="clear" w:color="auto" w:fill="DCE6F1"/>
          </w:tcPr>
          <w:p>
            <w:pPr>
              <w:spacing w:before="40" w:after="40" w:line="300" w:lineRule="auto"/>
            </w:pPr>
            <w:r/>
            <w:r>
              <w:rPr>
                <w:rFonts w:ascii="Times New Roman" w:hAnsi="Times New Roman" w:eastAsia="黑体"/>
                <w:b/>
                <w:i w:val="0"/>
                <w:color w:val="1F3D5C"/>
                <w:sz w:val="21"/>
              </w:rPr>
              <w:t>作用</w:t>
            </w:r>
          </w:p>
        </w:tc>
      </w:tr>
      <w:tr>
        <w:tc>
          <w:tcPr>
            <w:tcW w:type="dxa" w:w="3628"/>
          </w:tcPr>
          <w:p>
            <w:pPr>
              <w:spacing w:before="40" w:after="40" w:line="300" w:lineRule="auto"/>
            </w:pPr>
            <w:r/>
            <w:r>
              <w:rPr>
                <w:rFonts w:ascii="Times New Roman" w:hAnsi="Times New Roman" w:eastAsia="宋体"/>
                <w:b w:val="0"/>
                <w:i w:val="0"/>
                <w:color w:val="1B1B1B"/>
                <w:sz w:val="21"/>
              </w:rPr>
              <w:t>ros2-assistant.mode-judgment</w:t>
            </w:r>
          </w:p>
        </w:tc>
        <w:tc>
          <w:tcPr>
            <w:tcW w:type="dxa" w:w="1701"/>
          </w:tcPr>
          <w:p>
            <w:pPr>
              <w:spacing w:before="40" w:after="40" w:line="300" w:lineRule="auto"/>
            </w:pPr>
            <w:r/>
            <w:r>
              <w:rPr>
                <w:rFonts w:ascii="Times New Roman" w:hAnsi="Times New Roman" w:eastAsia="宋体"/>
                <w:b w:val="0"/>
                <w:i w:val="0"/>
                <w:color w:val="1B1B1B"/>
                <w:sz w:val="21"/>
              </w:rPr>
              <w:t>模式判断</w:t>
            </w:r>
          </w:p>
        </w:tc>
        <w:tc>
          <w:tcPr>
            <w:tcW w:type="dxa" w:w="2835"/>
          </w:tcPr>
          <w:p>
            <w:pPr>
              <w:spacing w:before="40" w:after="40" w:line="300" w:lineRule="auto"/>
            </w:pPr>
            <w:r/>
            <w:r>
              <w:rPr>
                <w:rFonts w:ascii="Times New Roman" w:hAnsi="Times New Roman" w:eastAsia="宋体"/>
                <w:b w:val="0"/>
                <w:i w:val="0"/>
                <w:color w:val="1B1B1B"/>
                <w:sz w:val="21"/>
              </w:rPr>
              <w:t>判定需求属于单节点还是多节点项目</w:t>
            </w:r>
          </w:p>
        </w:tc>
      </w:tr>
      <w:tr>
        <w:tc>
          <w:tcPr>
            <w:tcW w:type="dxa" w:w="3628"/>
          </w:tcPr>
          <w:p>
            <w:pPr>
              <w:spacing w:before="40" w:after="40" w:line="300" w:lineRule="auto"/>
            </w:pPr>
            <w:r/>
            <w:r>
              <w:rPr>
                <w:rFonts w:ascii="Times New Roman" w:hAnsi="Times New Roman" w:eastAsia="宋体"/>
                <w:b w:val="0"/>
                <w:i w:val="0"/>
                <w:color w:val="1B1B1B"/>
                <w:sz w:val="21"/>
              </w:rPr>
              <w:t>ros2-assistant.single-node-generator</w:t>
            </w:r>
          </w:p>
        </w:tc>
        <w:tc>
          <w:tcPr>
            <w:tcW w:type="dxa" w:w="1701"/>
          </w:tcPr>
          <w:p>
            <w:pPr>
              <w:spacing w:before="40" w:after="40" w:line="300" w:lineRule="auto"/>
            </w:pPr>
            <w:r/>
            <w:r>
              <w:rPr>
                <w:rFonts w:ascii="Times New Roman" w:hAnsi="Times New Roman" w:eastAsia="宋体"/>
                <w:b w:val="0"/>
                <w:i w:val="0"/>
                <w:color w:val="1B1B1B"/>
                <w:sz w:val="21"/>
              </w:rPr>
              <w:t>单节点代码生成</w:t>
            </w:r>
          </w:p>
        </w:tc>
        <w:tc>
          <w:tcPr>
            <w:tcW w:type="dxa" w:w="2835"/>
          </w:tcPr>
          <w:p>
            <w:pPr>
              <w:spacing w:before="40" w:after="40" w:line="300" w:lineRule="auto"/>
            </w:pPr>
            <w:r/>
            <w:r>
              <w:rPr>
                <w:rFonts w:ascii="Times New Roman" w:hAnsi="Times New Roman" w:eastAsia="宋体"/>
                <w:b w:val="0"/>
                <w:i w:val="0"/>
                <w:color w:val="1B1B1B"/>
                <w:sz w:val="21"/>
              </w:rPr>
              <w:t>生成发布者、订阅者等基础节点代码</w:t>
            </w:r>
          </w:p>
        </w:tc>
      </w:tr>
      <w:tr>
        <w:tc>
          <w:tcPr>
            <w:tcW w:type="dxa" w:w="3628"/>
          </w:tcPr>
          <w:p>
            <w:pPr>
              <w:spacing w:before="40" w:after="40" w:line="300" w:lineRule="auto"/>
            </w:pPr>
            <w:r/>
            <w:r>
              <w:rPr>
                <w:rFonts w:ascii="Times New Roman" w:hAnsi="Times New Roman" w:eastAsia="宋体"/>
                <w:b w:val="0"/>
                <w:i w:val="0"/>
                <w:color w:val="1B1B1B"/>
                <w:sz w:val="21"/>
              </w:rPr>
              <w:t>ros2-assistant.project-generator</w:t>
            </w:r>
          </w:p>
        </w:tc>
        <w:tc>
          <w:tcPr>
            <w:tcW w:type="dxa" w:w="1701"/>
          </w:tcPr>
          <w:p>
            <w:pPr>
              <w:spacing w:before="40" w:after="40" w:line="300" w:lineRule="auto"/>
            </w:pPr>
            <w:r/>
            <w:r>
              <w:rPr>
                <w:rFonts w:ascii="Times New Roman" w:hAnsi="Times New Roman" w:eastAsia="宋体"/>
                <w:b w:val="0"/>
                <w:i w:val="0"/>
                <w:color w:val="1B1B1B"/>
                <w:sz w:val="21"/>
              </w:rPr>
              <w:t>项目生成</w:t>
            </w:r>
          </w:p>
        </w:tc>
        <w:tc>
          <w:tcPr>
            <w:tcW w:type="dxa" w:w="2835"/>
          </w:tcPr>
          <w:p>
            <w:pPr>
              <w:spacing w:before="40" w:after="40" w:line="300" w:lineRule="auto"/>
            </w:pPr>
            <w:r/>
            <w:r>
              <w:rPr>
                <w:rFonts w:ascii="Times New Roman" w:hAnsi="Times New Roman" w:eastAsia="宋体"/>
                <w:b w:val="0"/>
                <w:i w:val="0"/>
                <w:color w:val="1B1B1B"/>
                <w:sz w:val="21"/>
              </w:rPr>
              <w:t>生成含包结构、launch 文件、学习指南的多节点项目</w:t>
            </w:r>
          </w:p>
        </w:tc>
      </w:tr>
      <w:tr>
        <w:tc>
          <w:tcPr>
            <w:tcW w:type="dxa" w:w="3628"/>
          </w:tcPr>
          <w:p>
            <w:pPr>
              <w:spacing w:before="40" w:after="40" w:line="300" w:lineRule="auto"/>
            </w:pPr>
            <w:r/>
            <w:r>
              <w:rPr>
                <w:rFonts w:ascii="Times New Roman" w:hAnsi="Times New Roman" w:eastAsia="宋体"/>
                <w:b w:val="0"/>
                <w:i w:val="0"/>
                <w:color w:val="1B1B1B"/>
                <w:sz w:val="21"/>
              </w:rPr>
              <w:t>ros2-assistant.code-review</w:t>
            </w:r>
          </w:p>
        </w:tc>
        <w:tc>
          <w:tcPr>
            <w:tcW w:type="dxa" w:w="1701"/>
          </w:tcPr>
          <w:p>
            <w:pPr>
              <w:spacing w:before="40" w:after="40" w:line="300" w:lineRule="auto"/>
            </w:pPr>
            <w:r/>
            <w:r>
              <w:rPr>
                <w:rFonts w:ascii="Times New Roman" w:hAnsi="Times New Roman" w:eastAsia="宋体"/>
                <w:b w:val="0"/>
                <w:i w:val="0"/>
                <w:color w:val="1B1B1B"/>
                <w:sz w:val="21"/>
              </w:rPr>
              <w:t>代码规范审查</w:t>
            </w:r>
          </w:p>
        </w:tc>
        <w:tc>
          <w:tcPr>
            <w:tcW w:type="dxa" w:w="2835"/>
          </w:tcPr>
          <w:p>
            <w:pPr>
              <w:spacing w:before="40" w:after="40" w:line="300" w:lineRule="auto"/>
            </w:pPr>
            <w:r/>
            <w:r>
              <w:rPr>
                <w:rFonts w:ascii="Times New Roman" w:hAnsi="Times New Roman" w:eastAsia="宋体"/>
                <w:b w:val="0"/>
                <w:i w:val="0"/>
                <w:color w:val="1B1B1B"/>
                <w:sz w:val="21"/>
              </w:rPr>
              <w:t>按优先级审查生成结果并修正</w:t>
            </w:r>
          </w:p>
        </w:tc>
      </w:tr>
      <w:tr>
        <w:tc>
          <w:tcPr>
            <w:tcW w:type="dxa" w:w="3628"/>
          </w:tcPr>
          <w:p>
            <w:pPr>
              <w:spacing w:before="40" w:after="40" w:line="300" w:lineRule="auto"/>
            </w:pPr>
            <w:r/>
            <w:r>
              <w:rPr>
                <w:rFonts w:ascii="Times New Roman" w:hAnsi="Times New Roman" w:eastAsia="宋体"/>
                <w:b w:val="0"/>
                <w:i w:val="0"/>
                <w:color w:val="1B1B1B"/>
                <w:sz w:val="21"/>
              </w:rPr>
              <w:t>ros2-assistant.study-tutor</w:t>
            </w:r>
          </w:p>
        </w:tc>
        <w:tc>
          <w:tcPr>
            <w:tcW w:type="dxa" w:w="1701"/>
          </w:tcPr>
          <w:p>
            <w:pPr>
              <w:spacing w:before="40" w:after="40" w:line="300" w:lineRule="auto"/>
            </w:pPr>
            <w:r/>
            <w:r>
              <w:rPr>
                <w:rFonts w:ascii="Times New Roman" w:hAnsi="Times New Roman" w:eastAsia="宋体"/>
                <w:b w:val="0"/>
                <w:i w:val="0"/>
                <w:color w:val="1B1B1B"/>
                <w:sz w:val="21"/>
              </w:rPr>
              <w:t>学习辅导</w:t>
            </w:r>
          </w:p>
        </w:tc>
        <w:tc>
          <w:tcPr>
            <w:tcW w:type="dxa" w:w="2835"/>
          </w:tcPr>
          <w:p>
            <w:pPr>
              <w:spacing w:before="40" w:after="40" w:line="300" w:lineRule="auto"/>
            </w:pPr>
            <w:r/>
            <w:r>
              <w:rPr>
                <w:rFonts w:ascii="Times New Roman" w:hAnsi="Times New Roman" w:eastAsia="宋体"/>
                <w:b w:val="0"/>
                <w:i w:val="0"/>
                <w:color w:val="1B1B1B"/>
                <w:sz w:val="21"/>
              </w:rPr>
              <w:t>讲解概念、给出运行步骤与新手易错点</w:t>
            </w:r>
          </w:p>
        </w:tc>
      </w:tr>
    </w:tbl>
    <w:p>
      <w:pPr>
        <w:spacing w:after="40"/>
      </w:pPr>
    </w:p>
    <w:p>
      <w:pPr>
        <w:spacing w:before="80" w:after="80"/>
        <w:jc w:val="center"/>
      </w:pPr>
      <w:r>
        <w:rPr>
          <w:rFonts w:ascii="Times New Roman" w:hAnsi="Times New Roman" w:eastAsia="黑体"/>
          <w:b w:val="0"/>
          <w:i w:val="0"/>
          <w:color w:val="606A74"/>
          <w:sz w:val="21"/>
        </w:rPr>
        <w:t>表 3-1  声明出去的 5 项技能</w:t>
      </w:r>
    </w:p>
    <w:p>
      <w:pPr>
        <w:spacing w:before="0" w:after="120" w:line="360" w:lineRule="auto"/>
        <w:ind w:firstLine="480"/>
      </w:pPr>
      <w:r>
        <w:rPr>
          <w:rFonts w:ascii="Times New Roman" w:hAnsi="Times New Roman" w:eastAsia="宋体"/>
          <w:b w:val="0"/>
          <w:i w:val="0"/>
          <w:color w:val="1B1B1B"/>
          <w:sz w:val="24"/>
        </w:rPr>
        <w:t>这里有个要点：技能的描述文字和示例，直接决定平台能不能把用户需求匹配到这个智能体。所以描述要用领域里的自然说法，不要用内部实现的术语。</w:t>
      </w:r>
    </w:p>
    <w:p>
      <w:pPr>
        <w:spacing w:before="280" w:after="160" w:line="312" w:lineRule="auto"/>
      </w:pPr>
      <w:r>
        <w:rPr>
          <w:rFonts w:ascii="Times New Roman" w:hAnsi="Times New Roman" w:eastAsia="黑体"/>
          <w:b/>
          <w:i w:val="0"/>
          <w:color w:val="1F3D5C"/>
          <w:sz w:val="27"/>
        </w:rPr>
        <w:t>3.3  第三步：安全通道（mTLS）</w:t>
      </w:r>
    </w:p>
    <w:p>
      <w:pPr>
        <w:spacing w:before="0" w:after="120" w:line="360" w:lineRule="auto"/>
        <w:ind w:firstLine="480"/>
      </w:pPr>
      <w:r>
        <w:rPr>
          <w:rFonts w:ascii="Times New Roman" w:hAnsi="Times New Roman" w:eastAsia="宋体"/>
          <w:b w:val="0"/>
          <w:i w:val="0"/>
          <w:color w:val="1B1B1B"/>
          <w:sz w:val="24"/>
        </w:rPr>
        <w:t>平台 CA 通过 EAB（External Account Binding）机制签发证书，流程是：用 AIC 换 EAB 凭证 → 提交证书签名请求 → 下载证书与信任链。</w:t>
      </w:r>
    </w:p>
    <w:p>
      <w:pPr>
        <w:spacing w:before="0" w:after="120" w:line="360" w:lineRule="auto"/>
        <w:ind w:firstLine="480"/>
      </w:pPr>
      <w:r>
        <w:rPr>
          <w:rFonts w:ascii="Times New Roman" w:hAnsi="Times New Roman" w:eastAsia="宋体"/>
          <w:b w:val="0"/>
          <w:i w:val="0"/>
          <w:color w:val="1B1B1B"/>
          <w:sz w:val="24"/>
        </w:rPr>
        <w:t>关键点：证书的扩展密钥用途必须和它承担的角色对上。</w:t>
      </w:r>
    </w:p>
    <w:p>
      <w:pPr>
        <w:spacing w:before="0" w:after="100" w:line="348" w:lineRule="auto"/>
        <w:ind w:left="480" w:hanging="240"/>
      </w:pPr>
      <w:r>
        <w:rPr>
          <w:rFonts w:ascii="Times New Roman" w:hAnsi="Times New Roman" w:eastAsia="宋体"/>
          <w:b w:val="0"/>
          <w:i w:val="0"/>
          <w:color w:val="1B1B1B"/>
          <w:sz w:val="24"/>
        </w:rPr>
        <w:t>服务端证书：必须包含服务端认证用途，用于本智能体作为服务端接受平台调用；</w:t>
      </w:r>
    </w:p>
    <w:p>
      <w:pPr>
        <w:spacing w:before="0" w:after="100" w:line="348" w:lineRule="auto"/>
        <w:ind w:left="480" w:hanging="240"/>
      </w:pPr>
      <w:r>
        <w:rPr>
          <w:rFonts w:ascii="Times New Roman" w:hAnsi="Times New Roman" w:eastAsia="宋体"/>
          <w:b w:val="0"/>
          <w:i w:val="0"/>
          <w:color w:val="1B1B1B"/>
          <w:sz w:val="24"/>
        </w:rPr>
        <w:t>客户端证书：必须包含客户端认证用途，用于本智能体作为调用方向平台发起请求。</w:t>
      </w:r>
    </w:p>
    <w:p>
      <w:pPr>
        <w:spacing w:before="0" w:after="120" w:line="360" w:lineRule="auto"/>
        <w:ind w:firstLine="480"/>
      </w:pPr>
      <w:r>
        <w:rPr>
          <w:rFonts w:ascii="Times New Roman" w:hAnsi="Times New Roman" w:eastAsia="宋体"/>
          <w:b w:val="0"/>
          <w:i w:val="0"/>
          <w:color w:val="1B1B1B"/>
          <w:sz w:val="24"/>
        </w:rPr>
        <w:t>两者写反的话，TLS 握手会在证书校验阶段直接失败，而报错通常只有一句“握手失败”，很难一眼看出是用途写反了。</w:t>
      </w:r>
    </w:p>
    <w:p>
      <w:pPr>
        <w:spacing w:before="0" w:after="120" w:line="360" w:lineRule="auto"/>
        <w:ind w:firstLine="480"/>
      </w:pPr>
      <w:r>
        <w:rPr>
          <w:rFonts w:ascii="Times New Roman" w:hAnsi="Times New Roman" w:eastAsia="宋体"/>
          <w:b w:val="0"/>
          <w:i w:val="0"/>
          <w:color w:val="1B1B1B"/>
          <w:sz w:val="24"/>
        </w:rPr>
        <w:t>另外，平台在应用层还会做身份绑定校验：比对客户端证书的主体名与报文里的发送方标识是否一致。所以报文里的发送方标识必须用本智能体的真实 AIC。</w:t>
      </w:r>
    </w:p>
    <w:p>
      <w:pPr>
        <w:spacing w:before="280" w:after="160" w:line="312" w:lineRule="auto"/>
      </w:pPr>
      <w:r>
        <w:rPr>
          <w:rFonts w:ascii="Times New Roman" w:hAnsi="Times New Roman" w:eastAsia="黑体"/>
          <w:b/>
          <w:i w:val="0"/>
          <w:color w:val="1F3D5C"/>
          <w:sz w:val="27"/>
        </w:rPr>
        <w:t>3.4  第四步：协议端点（AIP）</w:t>
      </w:r>
    </w:p>
    <w:p>
      <w:pPr>
        <w:spacing w:before="0" w:after="120" w:line="360" w:lineRule="auto"/>
        <w:ind w:firstLine="480"/>
      </w:pPr>
      <w:r>
        <w:rPr>
          <w:rFonts w:ascii="Times New Roman" w:hAnsi="Times New Roman" w:eastAsia="宋体"/>
          <w:b w:val="0"/>
          <w:i w:val="0"/>
          <w:color w:val="1B1B1B"/>
          <w:sz w:val="24"/>
        </w:rPr>
        <w:t>智能体要暴露一个 JSON-RPC 2.0 端点，接收平台或上级协作智能体发来的任务指令。核心指令有三类：</w:t>
      </w:r>
    </w:p>
    <w:tbl>
      <w:tblPr>
        <w:tblStyle w:val="TableGrid"/>
        <w:tblW w:type="auto" w:w="0"/>
        <w:jc w:val="center"/>
        <w:tblLook w:firstColumn="1" w:firstRow="1" w:lastColumn="0" w:lastRow="0" w:noHBand="0" w:noVBand="1" w:val="04A0"/>
      </w:tblPr>
      <w:tblGrid>
        <w:gridCol w:w="2911"/>
        <w:gridCol w:w="2911"/>
        <w:gridCol w:w="2911"/>
      </w:tblGrid>
      <w:tr>
        <w:tc>
          <w:tcPr>
            <w:tcW w:type="dxa" w:w="1474"/>
            <w:shd w:val="clear" w:color="auto" w:fill="DCE6F1"/>
          </w:tcPr>
          <w:p>
            <w:pPr>
              <w:spacing w:before="40" w:after="40" w:line="300" w:lineRule="auto"/>
            </w:pPr>
            <w:r/>
            <w:r>
              <w:rPr>
                <w:rFonts w:ascii="Times New Roman" w:hAnsi="Times New Roman" w:eastAsia="黑体"/>
                <w:b/>
                <w:i w:val="0"/>
                <w:color w:val="1F3D5C"/>
                <w:sz w:val="21"/>
              </w:rPr>
              <w:t>指令</w:t>
            </w:r>
          </w:p>
        </w:tc>
        <w:tc>
          <w:tcPr>
            <w:tcW w:type="dxa" w:w="2381"/>
            <w:shd w:val="clear" w:color="auto" w:fill="DCE6F1"/>
          </w:tcPr>
          <w:p>
            <w:pPr>
              <w:spacing w:before="40" w:after="40" w:line="300" w:lineRule="auto"/>
            </w:pPr>
            <w:r/>
            <w:r>
              <w:rPr>
                <w:rFonts w:ascii="Times New Roman" w:hAnsi="Times New Roman" w:eastAsia="黑体"/>
                <w:b/>
                <w:i w:val="0"/>
                <w:color w:val="1F3D5C"/>
                <w:sz w:val="21"/>
              </w:rPr>
              <w:t>含义</w:t>
            </w:r>
          </w:p>
        </w:tc>
        <w:tc>
          <w:tcPr>
            <w:tcW w:type="dxa" w:w="4309"/>
            <w:shd w:val="clear" w:color="auto" w:fill="DCE6F1"/>
          </w:tcPr>
          <w:p>
            <w:pPr>
              <w:spacing w:before="40" w:after="40" w:line="300" w:lineRule="auto"/>
            </w:pPr>
            <w:r/>
            <w:r>
              <w:rPr>
                <w:rFonts w:ascii="Times New Roman" w:hAnsi="Times New Roman" w:eastAsia="黑体"/>
                <w:b/>
                <w:i w:val="0"/>
                <w:color w:val="1F3D5C"/>
                <w:sz w:val="21"/>
              </w:rPr>
              <w:t>智能体的响应</w:t>
            </w:r>
          </w:p>
        </w:tc>
      </w:tr>
      <w:tr>
        <w:tc>
          <w:tcPr>
            <w:tcW w:type="dxa" w:w="1474"/>
          </w:tcPr>
          <w:p>
            <w:pPr>
              <w:spacing w:before="40" w:after="40" w:line="300" w:lineRule="auto"/>
            </w:pPr>
            <w:r/>
            <w:r>
              <w:rPr>
                <w:rFonts w:ascii="Times New Roman" w:hAnsi="Times New Roman" w:eastAsia="宋体"/>
                <w:b w:val="0"/>
                <w:i w:val="0"/>
                <w:color w:val="1B1B1B"/>
                <w:sz w:val="21"/>
              </w:rPr>
              <w:t>start</w:t>
            </w:r>
          </w:p>
        </w:tc>
        <w:tc>
          <w:tcPr>
            <w:tcW w:type="dxa" w:w="2381"/>
          </w:tcPr>
          <w:p>
            <w:pPr>
              <w:spacing w:before="40" w:after="40" w:line="300" w:lineRule="auto"/>
            </w:pPr>
            <w:r/>
            <w:r>
              <w:rPr>
                <w:rFonts w:ascii="Times New Roman" w:hAnsi="Times New Roman" w:eastAsia="宋体"/>
                <w:b w:val="0"/>
                <w:i w:val="0"/>
                <w:color w:val="1B1B1B"/>
                <w:sz w:val="21"/>
              </w:rPr>
              <w:t>派发一个新任务</w:t>
            </w:r>
          </w:p>
        </w:tc>
        <w:tc>
          <w:tcPr>
            <w:tcW w:type="dxa" w:w="4309"/>
          </w:tcPr>
          <w:p>
            <w:pPr>
              <w:spacing w:before="40" w:after="40" w:line="300" w:lineRule="auto"/>
            </w:pPr>
            <w:r/>
            <w:r>
              <w:rPr>
                <w:rFonts w:ascii="Times New Roman" w:hAnsi="Times New Roman" w:eastAsia="宋体"/>
                <w:b w:val="0"/>
                <w:i w:val="0"/>
                <w:color w:val="1B1B1B"/>
                <w:sz w:val="21"/>
              </w:rPr>
              <w:t>创建任务并进入 accepted 状态，随后异步推进处理</w:t>
            </w:r>
          </w:p>
        </w:tc>
      </w:tr>
      <w:tr>
        <w:tc>
          <w:tcPr>
            <w:tcW w:type="dxa" w:w="1474"/>
          </w:tcPr>
          <w:p>
            <w:pPr>
              <w:spacing w:before="40" w:after="40" w:line="300" w:lineRule="auto"/>
            </w:pPr>
            <w:r/>
            <w:r>
              <w:rPr>
                <w:rFonts w:ascii="Times New Roman" w:hAnsi="Times New Roman" w:eastAsia="宋体"/>
                <w:b w:val="0"/>
                <w:i w:val="0"/>
                <w:color w:val="1B1B1B"/>
                <w:sz w:val="21"/>
              </w:rPr>
              <w:t>get</w:t>
            </w:r>
          </w:p>
        </w:tc>
        <w:tc>
          <w:tcPr>
            <w:tcW w:type="dxa" w:w="2381"/>
          </w:tcPr>
          <w:p>
            <w:pPr>
              <w:spacing w:before="40" w:after="40" w:line="300" w:lineRule="auto"/>
            </w:pPr>
            <w:r/>
            <w:r>
              <w:rPr>
                <w:rFonts w:ascii="Times New Roman" w:hAnsi="Times New Roman" w:eastAsia="宋体"/>
                <w:b w:val="0"/>
                <w:i w:val="0"/>
                <w:color w:val="1B1B1B"/>
                <w:sz w:val="21"/>
              </w:rPr>
              <w:t>查询任务进度</w:t>
            </w:r>
          </w:p>
        </w:tc>
        <w:tc>
          <w:tcPr>
            <w:tcW w:type="dxa" w:w="4309"/>
          </w:tcPr>
          <w:p>
            <w:pPr>
              <w:spacing w:before="40" w:after="40" w:line="300" w:lineRule="auto"/>
            </w:pPr>
            <w:r/>
            <w:r>
              <w:rPr>
                <w:rFonts w:ascii="Times New Roman" w:hAnsi="Times New Roman" w:eastAsia="宋体"/>
                <w:b w:val="0"/>
                <w:i w:val="0"/>
                <w:color w:val="1B1B1B"/>
                <w:sz w:val="21"/>
              </w:rPr>
              <w:t>返回当前状态；未完成时返回 working</w:t>
            </w:r>
          </w:p>
        </w:tc>
      </w:tr>
      <w:tr>
        <w:tc>
          <w:tcPr>
            <w:tcW w:type="dxa" w:w="1474"/>
          </w:tcPr>
          <w:p>
            <w:pPr>
              <w:spacing w:before="40" w:after="40" w:line="300" w:lineRule="auto"/>
            </w:pPr>
            <w:r/>
            <w:r>
              <w:rPr>
                <w:rFonts w:ascii="Times New Roman" w:hAnsi="Times New Roman" w:eastAsia="宋体"/>
                <w:b w:val="0"/>
                <w:i w:val="0"/>
                <w:color w:val="1B1B1B"/>
                <w:sz w:val="21"/>
              </w:rPr>
              <w:t>complete</w:t>
            </w:r>
          </w:p>
        </w:tc>
        <w:tc>
          <w:tcPr>
            <w:tcW w:type="dxa" w:w="2381"/>
          </w:tcPr>
          <w:p>
            <w:pPr>
              <w:spacing w:before="40" w:after="40" w:line="300" w:lineRule="auto"/>
            </w:pPr>
            <w:r/>
            <w:r>
              <w:rPr>
                <w:rFonts w:ascii="Times New Roman" w:hAnsi="Times New Roman" w:eastAsia="宋体"/>
                <w:b w:val="0"/>
                <w:i w:val="0"/>
                <w:color w:val="1B1B1B"/>
                <w:sz w:val="21"/>
              </w:rPr>
              <w:t>通知任务已收尾</w:t>
            </w:r>
          </w:p>
        </w:tc>
        <w:tc>
          <w:tcPr>
            <w:tcW w:type="dxa" w:w="4309"/>
          </w:tcPr>
          <w:p>
            <w:pPr>
              <w:spacing w:before="40" w:after="40" w:line="300" w:lineRule="auto"/>
            </w:pPr>
            <w:r/>
            <w:r>
              <w:rPr>
                <w:rFonts w:ascii="Times New Roman" w:hAnsi="Times New Roman" w:eastAsia="宋体"/>
                <w:b w:val="0"/>
                <w:i w:val="0"/>
                <w:color w:val="1B1B1B"/>
                <w:sz w:val="21"/>
              </w:rPr>
              <w:t>释放该任务占用的资源</w:t>
            </w:r>
          </w:p>
        </w:tc>
      </w:tr>
    </w:tbl>
    <w:p>
      <w:pPr>
        <w:spacing w:after="40"/>
      </w:pPr>
    </w:p>
    <w:p>
      <w:pPr>
        <w:spacing w:before="80" w:after="80"/>
        <w:jc w:val="center"/>
      </w:pPr>
      <w:r>
        <w:rPr>
          <w:rFonts w:ascii="Times New Roman" w:hAnsi="Times New Roman" w:eastAsia="黑体"/>
          <w:b w:val="0"/>
          <w:i w:val="0"/>
          <w:color w:val="606A74"/>
          <w:sz w:val="21"/>
        </w:rPr>
        <w:t>表 3-2  AIP 三类核心指令</w:t>
      </w:r>
    </w:p>
    <w:p>
      <w:pPr>
        <w:spacing w:before="0" w:after="120" w:line="360" w:lineRule="auto"/>
        <w:ind w:firstLine="480"/>
      </w:pPr>
      <w:r>
        <w:rPr>
          <w:rFonts w:ascii="Times New Roman" w:hAnsi="Times New Roman" w:eastAsia="宋体"/>
          <w:b w:val="0"/>
          <w:i w:val="0"/>
          <w:color w:val="1B1B1B"/>
          <w:sz w:val="24"/>
        </w:rPr>
        <w:t>任务状态机是 accepted → working → awaiting-completion。其中 awaiting-completion 表示“已经产出结果、等上级收尾”，这时候产物可以通过 get 指令取回。</w:t>
      </w:r>
    </w:p>
    <w:p>
      <w:pPr>
        <w:spacing w:before="0" w:after="120" w:line="360" w:lineRule="auto"/>
        <w:ind w:firstLine="480"/>
      </w:pPr>
      <w:r>
        <w:rPr>
          <w:rFonts w:ascii="Times New Roman" w:hAnsi="Times New Roman" w:eastAsia="宋体"/>
          <w:b w:val="0"/>
          <w:i w:val="0"/>
          <w:color w:val="1B1B1B"/>
          <w:sz w:val="24"/>
        </w:rPr>
        <w:t>具体到本智能体：收到 start 之后依次走三段——判定（这条请求是不是自己的活）、抽取（从自然语言里提取结构化需求）、产出（生成结果）。三段都是通过适配层去调工作流，工作流本身不动。</w:t>
      </w:r>
    </w:p>
    <w:p>
      <w:pPr>
        <w:spacing w:before="280" w:after="160" w:line="312" w:lineRule="auto"/>
      </w:pPr>
      <w:r>
        <w:rPr>
          <w:rFonts w:ascii="Times New Roman" w:hAnsi="Times New Roman" w:eastAsia="黑体"/>
          <w:b/>
          <w:i w:val="0"/>
          <w:color w:val="1F3D5C"/>
          <w:sz w:val="27"/>
        </w:rPr>
        <w:t>3.5  第五步：可观测性（AMP）</w:t>
      </w:r>
    </w:p>
    <w:p>
      <w:pPr>
        <w:spacing w:before="0" w:after="120" w:line="360" w:lineRule="auto"/>
        <w:ind w:firstLine="480"/>
      </w:pPr>
      <w:r>
        <w:rPr>
          <w:rFonts w:ascii="Times New Roman" w:hAnsi="Times New Roman" w:eastAsia="宋体"/>
          <w:b w:val="0"/>
          <w:i w:val="0"/>
          <w:color w:val="1B1B1B"/>
          <w:sz w:val="24"/>
        </w:rPr>
        <w:t>平台按 AMP 规范采集六类日志：心跳、指标、访问、审计、消息、系统。</w:t>
      </w:r>
    </w:p>
    <w:p>
      <w:pPr>
        <w:spacing w:before="0" w:after="120" w:line="360" w:lineRule="auto"/>
        <w:ind w:firstLine="480"/>
      </w:pPr>
      <w:r>
        <w:rPr>
          <w:rFonts w:ascii="Times New Roman" w:hAnsi="Times New Roman" w:eastAsia="宋体"/>
          <w:b w:val="0"/>
          <w:i w:val="0"/>
          <w:color w:val="1B1B1B"/>
          <w:sz w:val="24"/>
        </w:rPr>
        <w:t>其中最关键的是心跳。平台手册写得很明确：持续心跳用来告诉平台“我还在”，发现查询的返回里会带上在线状态；心跳一停，别人按“只要在线”去发现时就找不到你，即使业务进程还在。</w:t>
      </w:r>
    </w:p>
    <w:p>
      <w:pPr>
        <w:spacing w:before="0" w:after="120" w:line="360" w:lineRule="auto"/>
        <w:ind w:firstLine="480"/>
      </w:pPr>
      <w:r>
        <w:rPr>
          <w:rFonts w:ascii="Times New Roman" w:hAnsi="Times New Roman" w:eastAsia="宋体"/>
          <w:b w:val="0"/>
          <w:i w:val="0"/>
          <w:color w:val="1B1B1B"/>
          <w:sz w:val="24"/>
        </w:rPr>
        <w:t>AMP 的结构是两段式的：智能体进程只负责把日志写进本地文件，再由一个独立的转发器（官方实现用 Fluent Bit）尾追文件、投递到平台的日志通道。也就是说，“写日志”和“日志到达平台”是两件事——少了转发器，进程会照常写文件，但平台什么都收不到。这一点后来坑了我们很久，见第 4 章 P8。</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1587"/>
            <w:shd w:val="clear" w:color="auto" w:fill="DCE6F1"/>
          </w:tcPr>
          <w:p>
            <w:pPr>
              <w:spacing w:before="40" w:after="40" w:line="300" w:lineRule="auto"/>
            </w:pPr>
            <w:r/>
            <w:r>
              <w:rPr>
                <w:rFonts w:ascii="Times New Roman" w:hAnsi="Times New Roman" w:eastAsia="黑体"/>
                <w:b/>
                <w:i w:val="0"/>
                <w:color w:val="1F3D5C"/>
                <w:sz w:val="21"/>
              </w:rPr>
              <w:t>步骤</w:t>
            </w:r>
          </w:p>
        </w:tc>
        <w:tc>
          <w:tcPr>
            <w:tcW w:type="dxa" w:w="1928"/>
            <w:shd w:val="clear" w:color="auto" w:fill="DCE6F1"/>
          </w:tcPr>
          <w:p>
            <w:pPr>
              <w:spacing w:before="40" w:after="40" w:line="300" w:lineRule="auto"/>
            </w:pPr>
            <w:r/>
            <w:r>
              <w:rPr>
                <w:rFonts w:ascii="Times New Roman" w:hAnsi="Times New Roman" w:eastAsia="黑体"/>
                <w:b/>
                <w:i w:val="0"/>
                <w:color w:val="1F3D5C"/>
                <w:sz w:val="21"/>
              </w:rPr>
              <w:t>产出物</w:t>
            </w:r>
          </w:p>
        </w:tc>
        <w:tc>
          <w:tcPr>
            <w:tcW w:type="dxa" w:w="2608"/>
            <w:shd w:val="clear" w:color="auto" w:fill="DCE6F1"/>
          </w:tcPr>
          <w:p>
            <w:pPr>
              <w:spacing w:before="40" w:after="40" w:line="300" w:lineRule="auto"/>
            </w:pPr>
            <w:r/>
            <w:r>
              <w:rPr>
                <w:rFonts w:ascii="Times New Roman" w:hAnsi="Times New Roman" w:eastAsia="黑体"/>
                <w:b/>
                <w:i w:val="0"/>
                <w:color w:val="1F3D5C"/>
                <w:sz w:val="21"/>
              </w:rPr>
              <w:t>对应规范</w:t>
            </w:r>
          </w:p>
        </w:tc>
        <w:tc>
          <w:tcPr>
            <w:tcW w:type="dxa" w:w="2608"/>
            <w:shd w:val="clear" w:color="auto" w:fill="DCE6F1"/>
          </w:tcPr>
          <w:p>
            <w:pPr>
              <w:spacing w:before="40" w:after="40" w:line="300" w:lineRule="auto"/>
            </w:pPr>
            <w:r/>
            <w:r>
              <w:rPr>
                <w:rFonts w:ascii="Times New Roman" w:hAnsi="Times New Roman" w:eastAsia="黑体"/>
                <w:b/>
                <w:i w:val="0"/>
                <w:color w:val="1F3D5C"/>
                <w:sz w:val="21"/>
              </w:rPr>
              <w:t>验收方式</w:t>
            </w:r>
          </w:p>
        </w:tc>
      </w:tr>
      <w:tr>
        <w:tc>
          <w:tcPr>
            <w:tcW w:type="dxa" w:w="1587"/>
          </w:tcPr>
          <w:p>
            <w:pPr>
              <w:spacing w:before="40" w:after="40" w:line="300" w:lineRule="auto"/>
            </w:pPr>
            <w:r/>
            <w:r>
              <w:rPr>
                <w:rFonts w:ascii="Times New Roman" w:hAnsi="Times New Roman" w:eastAsia="宋体"/>
                <w:b w:val="0"/>
                <w:i w:val="0"/>
                <w:color w:val="1B1B1B"/>
                <w:sz w:val="21"/>
              </w:rPr>
              <w:t>1  注册与身份</w:t>
            </w:r>
          </w:p>
        </w:tc>
        <w:tc>
          <w:tcPr>
            <w:tcW w:type="dxa" w:w="1928"/>
          </w:tcPr>
          <w:p>
            <w:pPr>
              <w:spacing w:before="40" w:after="40" w:line="300" w:lineRule="auto"/>
            </w:pPr>
            <w:r/>
            <w:r>
              <w:rPr>
                <w:rFonts w:ascii="Times New Roman" w:hAnsi="Times New Roman" w:eastAsia="宋体"/>
                <w:b w:val="0"/>
                <w:i w:val="0"/>
                <w:color w:val="1B1B1B"/>
                <w:sz w:val="21"/>
              </w:rPr>
              <w:t>AIC 身份码</w:t>
            </w:r>
          </w:p>
        </w:tc>
        <w:tc>
          <w:tcPr>
            <w:tcW w:type="dxa" w:w="2608"/>
          </w:tcPr>
          <w:p>
            <w:pPr>
              <w:spacing w:before="40" w:after="40" w:line="300" w:lineRule="auto"/>
            </w:pPr>
            <w:r/>
            <w:r>
              <w:rPr>
                <w:rFonts w:ascii="Times New Roman" w:hAnsi="Times New Roman" w:eastAsia="宋体"/>
                <w:b w:val="0"/>
                <w:i w:val="0"/>
                <w:color w:val="1B1B1B"/>
                <w:sz w:val="21"/>
              </w:rPr>
              <w:t>ACS 身份字段</w:t>
            </w:r>
          </w:p>
        </w:tc>
        <w:tc>
          <w:tcPr>
            <w:tcW w:type="dxa" w:w="2608"/>
          </w:tcPr>
          <w:p>
            <w:pPr>
              <w:spacing w:before="40" w:after="40" w:line="300" w:lineRule="auto"/>
            </w:pPr>
            <w:r/>
            <w:r>
              <w:rPr>
                <w:rFonts w:ascii="Times New Roman" w:hAnsi="Times New Roman" w:eastAsia="宋体"/>
                <w:b w:val="0"/>
                <w:i w:val="0"/>
                <w:color w:val="1B1B1B"/>
                <w:sz w:val="21"/>
              </w:rPr>
              <w:t>平台注册审核通过</w:t>
            </w:r>
          </w:p>
        </w:tc>
      </w:tr>
      <w:tr>
        <w:tc>
          <w:tcPr>
            <w:tcW w:type="dxa" w:w="1587"/>
          </w:tcPr>
          <w:p>
            <w:pPr>
              <w:spacing w:before="40" w:after="40" w:line="300" w:lineRule="auto"/>
            </w:pPr>
            <w:r/>
            <w:r>
              <w:rPr>
                <w:rFonts w:ascii="Times New Roman" w:hAnsi="Times New Roman" w:eastAsia="宋体"/>
                <w:b w:val="0"/>
                <w:i w:val="0"/>
                <w:color w:val="1B1B1B"/>
                <w:sz w:val="21"/>
              </w:rPr>
              <w:t>2  能力声明</w:t>
            </w:r>
          </w:p>
        </w:tc>
        <w:tc>
          <w:tcPr>
            <w:tcW w:type="dxa" w:w="1928"/>
          </w:tcPr>
          <w:p>
            <w:pPr>
              <w:spacing w:before="40" w:after="40" w:line="300" w:lineRule="auto"/>
            </w:pPr>
            <w:r/>
            <w:r>
              <w:rPr>
                <w:rFonts w:ascii="Times New Roman" w:hAnsi="Times New Roman" w:eastAsia="宋体"/>
                <w:b w:val="0"/>
                <w:i w:val="0"/>
                <w:color w:val="1B1B1B"/>
                <w:sz w:val="21"/>
              </w:rPr>
              <w:t>ACS 文档</w:t>
            </w:r>
          </w:p>
        </w:tc>
        <w:tc>
          <w:tcPr>
            <w:tcW w:type="dxa" w:w="2608"/>
          </w:tcPr>
          <w:p>
            <w:pPr>
              <w:spacing w:before="40" w:after="40" w:line="300" w:lineRule="auto"/>
            </w:pPr>
            <w:r/>
            <w:r>
              <w:rPr>
                <w:rFonts w:ascii="Times New Roman" w:hAnsi="Times New Roman" w:eastAsia="宋体"/>
                <w:b w:val="0"/>
                <w:i w:val="0"/>
                <w:color w:val="1B1B1B"/>
                <w:sz w:val="21"/>
              </w:rPr>
              <w:t>ACS 规范</w:t>
            </w:r>
          </w:p>
        </w:tc>
        <w:tc>
          <w:tcPr>
            <w:tcW w:type="dxa" w:w="2608"/>
          </w:tcPr>
          <w:p>
            <w:pPr>
              <w:spacing w:before="40" w:after="40" w:line="300" w:lineRule="auto"/>
            </w:pPr>
            <w:r/>
            <w:r>
              <w:rPr>
                <w:rFonts w:ascii="Times New Roman" w:hAnsi="Times New Roman" w:eastAsia="宋体"/>
                <w:b w:val="0"/>
                <w:i w:val="0"/>
                <w:color w:val="1B1B1B"/>
                <w:sz w:val="21"/>
              </w:rPr>
              <w:t>技能可被发现服务检索</w:t>
            </w:r>
          </w:p>
        </w:tc>
      </w:tr>
      <w:tr>
        <w:tc>
          <w:tcPr>
            <w:tcW w:type="dxa" w:w="1587"/>
          </w:tcPr>
          <w:p>
            <w:pPr>
              <w:spacing w:before="40" w:after="40" w:line="300" w:lineRule="auto"/>
            </w:pPr>
            <w:r/>
            <w:r>
              <w:rPr>
                <w:rFonts w:ascii="Times New Roman" w:hAnsi="Times New Roman" w:eastAsia="宋体"/>
                <w:b w:val="0"/>
                <w:i w:val="0"/>
                <w:color w:val="1B1B1B"/>
                <w:sz w:val="21"/>
              </w:rPr>
              <w:t>3  安全通道</w:t>
            </w:r>
          </w:p>
        </w:tc>
        <w:tc>
          <w:tcPr>
            <w:tcW w:type="dxa" w:w="1928"/>
          </w:tcPr>
          <w:p>
            <w:pPr>
              <w:spacing w:before="40" w:after="40" w:line="300" w:lineRule="auto"/>
            </w:pPr>
            <w:r/>
            <w:r>
              <w:rPr>
                <w:rFonts w:ascii="Times New Roman" w:hAnsi="Times New Roman" w:eastAsia="宋体"/>
                <w:b w:val="0"/>
                <w:i w:val="0"/>
                <w:color w:val="1B1B1B"/>
                <w:sz w:val="21"/>
              </w:rPr>
              <w:t>服务端／客户端证书</w:t>
            </w:r>
          </w:p>
        </w:tc>
        <w:tc>
          <w:tcPr>
            <w:tcW w:type="dxa" w:w="2608"/>
          </w:tcPr>
          <w:p>
            <w:pPr>
              <w:spacing w:before="40" w:after="40" w:line="300" w:lineRule="auto"/>
            </w:pPr>
            <w:r/>
            <w:r>
              <w:rPr>
                <w:rFonts w:ascii="Times New Roman" w:hAnsi="Times New Roman" w:eastAsia="宋体"/>
                <w:b w:val="0"/>
                <w:i w:val="0"/>
                <w:color w:val="1B1B1B"/>
                <w:sz w:val="21"/>
              </w:rPr>
              <w:t>ACS 安全方案 + AIP 安全要求</w:t>
            </w:r>
          </w:p>
        </w:tc>
        <w:tc>
          <w:tcPr>
            <w:tcW w:type="dxa" w:w="2608"/>
          </w:tcPr>
          <w:p>
            <w:pPr>
              <w:spacing w:before="40" w:after="40" w:line="300" w:lineRule="auto"/>
            </w:pPr>
            <w:r/>
            <w:r>
              <w:rPr>
                <w:rFonts w:ascii="Times New Roman" w:hAnsi="Times New Roman" w:eastAsia="宋体"/>
                <w:b w:val="0"/>
                <w:i w:val="0"/>
                <w:color w:val="1B1B1B"/>
                <w:sz w:val="21"/>
              </w:rPr>
              <w:t>双向 TLS 握手成功</w:t>
            </w:r>
          </w:p>
        </w:tc>
      </w:tr>
      <w:tr>
        <w:tc>
          <w:tcPr>
            <w:tcW w:type="dxa" w:w="1587"/>
          </w:tcPr>
          <w:p>
            <w:pPr>
              <w:spacing w:before="40" w:after="40" w:line="300" w:lineRule="auto"/>
            </w:pPr>
            <w:r/>
            <w:r>
              <w:rPr>
                <w:rFonts w:ascii="Times New Roman" w:hAnsi="Times New Roman" w:eastAsia="宋体"/>
                <w:b w:val="0"/>
                <w:i w:val="0"/>
                <w:color w:val="1B1B1B"/>
                <w:sz w:val="21"/>
              </w:rPr>
              <w:t>4  协议端点</w:t>
            </w:r>
          </w:p>
        </w:tc>
        <w:tc>
          <w:tcPr>
            <w:tcW w:type="dxa" w:w="1928"/>
          </w:tcPr>
          <w:p>
            <w:pPr>
              <w:spacing w:before="40" w:after="40" w:line="300" w:lineRule="auto"/>
            </w:pPr>
            <w:r/>
            <w:r>
              <w:rPr>
                <w:rFonts w:ascii="Times New Roman" w:hAnsi="Times New Roman" w:eastAsia="宋体"/>
                <w:b w:val="0"/>
                <w:i w:val="0"/>
                <w:color w:val="1B1B1B"/>
                <w:sz w:val="21"/>
              </w:rPr>
              <w:t>JSON-RPC 端点</w:t>
            </w:r>
          </w:p>
        </w:tc>
        <w:tc>
          <w:tcPr>
            <w:tcW w:type="dxa" w:w="2608"/>
          </w:tcPr>
          <w:p>
            <w:pPr>
              <w:spacing w:before="40" w:after="40" w:line="300" w:lineRule="auto"/>
            </w:pPr>
            <w:r/>
            <w:r>
              <w:rPr>
                <w:rFonts w:ascii="Times New Roman" w:hAnsi="Times New Roman" w:eastAsia="宋体"/>
                <w:b w:val="0"/>
                <w:i w:val="0"/>
                <w:color w:val="1B1B1B"/>
                <w:sz w:val="21"/>
              </w:rPr>
              <w:t>AIP 规范</w:t>
            </w:r>
          </w:p>
        </w:tc>
        <w:tc>
          <w:tcPr>
            <w:tcW w:type="dxa" w:w="2608"/>
          </w:tcPr>
          <w:p>
            <w:pPr>
              <w:spacing w:before="40" w:after="40" w:line="300" w:lineRule="auto"/>
            </w:pPr>
            <w:r/>
            <w:r>
              <w:rPr>
                <w:rFonts w:ascii="Times New Roman" w:hAnsi="Times New Roman" w:eastAsia="宋体"/>
                <w:b w:val="0"/>
                <w:i w:val="0"/>
                <w:color w:val="1B1B1B"/>
                <w:sz w:val="21"/>
              </w:rPr>
              <w:t>任务可完整走完状态机</w:t>
            </w:r>
          </w:p>
        </w:tc>
      </w:tr>
      <w:tr>
        <w:tc>
          <w:tcPr>
            <w:tcW w:type="dxa" w:w="1587"/>
          </w:tcPr>
          <w:p>
            <w:pPr>
              <w:spacing w:before="40" w:after="40" w:line="300" w:lineRule="auto"/>
            </w:pPr>
            <w:r/>
            <w:r>
              <w:rPr>
                <w:rFonts w:ascii="Times New Roman" w:hAnsi="Times New Roman" w:eastAsia="宋体"/>
                <w:b w:val="0"/>
                <w:i w:val="0"/>
                <w:color w:val="1B1B1B"/>
                <w:sz w:val="21"/>
              </w:rPr>
              <w:t>5  可观测性</w:t>
            </w:r>
          </w:p>
        </w:tc>
        <w:tc>
          <w:tcPr>
            <w:tcW w:type="dxa" w:w="1928"/>
          </w:tcPr>
          <w:p>
            <w:pPr>
              <w:spacing w:before="40" w:after="40" w:line="300" w:lineRule="auto"/>
            </w:pPr>
            <w:r/>
            <w:r>
              <w:rPr>
                <w:rFonts w:ascii="Times New Roman" w:hAnsi="Times New Roman" w:eastAsia="宋体"/>
                <w:b w:val="0"/>
                <w:i w:val="0"/>
                <w:color w:val="1B1B1B"/>
                <w:sz w:val="21"/>
              </w:rPr>
              <w:t>日志文件 + 转发器</w:t>
            </w:r>
          </w:p>
        </w:tc>
        <w:tc>
          <w:tcPr>
            <w:tcW w:type="dxa" w:w="2608"/>
          </w:tcPr>
          <w:p>
            <w:pPr>
              <w:spacing w:before="40" w:after="40" w:line="300" w:lineRule="auto"/>
            </w:pPr>
            <w:r/>
            <w:r>
              <w:rPr>
                <w:rFonts w:ascii="Times New Roman" w:hAnsi="Times New Roman" w:eastAsia="宋体"/>
                <w:b w:val="0"/>
                <w:i w:val="0"/>
                <w:color w:val="1B1B1B"/>
                <w:sz w:val="21"/>
              </w:rPr>
              <w:t>AMP 规范</w:t>
            </w:r>
          </w:p>
        </w:tc>
        <w:tc>
          <w:tcPr>
            <w:tcW w:type="dxa" w:w="2608"/>
          </w:tcPr>
          <w:p>
            <w:pPr>
              <w:spacing w:before="40" w:after="40" w:line="300" w:lineRule="auto"/>
            </w:pPr>
            <w:r/>
            <w:r>
              <w:rPr>
                <w:rFonts w:ascii="Times New Roman" w:hAnsi="Times New Roman" w:eastAsia="宋体"/>
                <w:b w:val="0"/>
                <w:i w:val="0"/>
                <w:color w:val="1B1B1B"/>
                <w:sz w:val="21"/>
              </w:rPr>
              <w:t>平台显示在线并出现在发现结果中</w:t>
            </w:r>
          </w:p>
        </w:tc>
      </w:tr>
    </w:tbl>
    <w:p>
      <w:pPr>
        <w:spacing w:after="40"/>
      </w:pPr>
    </w:p>
    <w:p>
      <w:pPr>
        <w:spacing w:before="80" w:after="80"/>
        <w:jc w:val="center"/>
      </w:pPr>
      <w:r>
        <w:rPr>
          <w:rFonts w:ascii="Times New Roman" w:hAnsi="Times New Roman" w:eastAsia="黑体"/>
          <w:b w:val="0"/>
          <w:i w:val="0"/>
          <w:color w:val="606A74"/>
          <w:sz w:val="21"/>
        </w:rPr>
        <w:t>表 3-3  五步与规范的对应关系</w:t>
      </w:r>
    </w:p>
    <w:p>
      <w:pPr>
        <w:spacing w:before="400" w:after="200" w:line="312" w:lineRule="auto"/>
      </w:pPr>
      <w:r>
        <w:rPr>
          <w:rFonts w:ascii="Times New Roman" w:hAnsi="Times New Roman" w:eastAsia="黑体"/>
          <w:b/>
          <w:i w:val="0"/>
          <w:color w:val="1F3D5C"/>
          <w:sz w:val="32"/>
        </w:rPr>
        <w:t>4  遇到的问题和怎么解决的</w:t>
      </w:r>
    </w:p>
    <w:p>
      <w:pPr>
        <w:spacing w:before="0" w:after="120" w:line="360" w:lineRule="auto"/>
        <w:ind w:firstLine="480"/>
      </w:pPr>
      <w:r>
        <w:rPr>
          <w:rFonts w:ascii="Times New Roman" w:hAnsi="Times New Roman" w:eastAsia="宋体"/>
          <w:b w:val="0"/>
          <w:i w:val="0"/>
          <w:color w:val="1B1B1B"/>
          <w:sz w:val="24"/>
        </w:rPr>
        <w:t>一共 9 个问题，按出问题的层次归类如下。每个都按“现象 → 定位过程 → 根因 → 解决 → 验证”展开，重点放在怎么定位的——以后再遇到类似的，可以照着这个思路查。</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794"/>
            <w:shd w:val="clear" w:color="auto" w:fill="DCE6F1"/>
          </w:tcPr>
          <w:p>
            <w:pPr>
              <w:spacing w:before="40" w:after="40" w:line="300" w:lineRule="auto"/>
            </w:pPr>
            <w:r/>
            <w:r>
              <w:rPr>
                <w:rFonts w:ascii="Times New Roman" w:hAnsi="Times New Roman" w:eastAsia="黑体"/>
                <w:b/>
                <w:i w:val="0"/>
                <w:color w:val="1F3D5C"/>
                <w:sz w:val="21"/>
              </w:rPr>
              <w:t>编号</w:t>
            </w:r>
          </w:p>
        </w:tc>
        <w:tc>
          <w:tcPr>
            <w:tcW w:type="dxa" w:w="1474"/>
            <w:shd w:val="clear" w:color="auto" w:fill="DCE6F1"/>
          </w:tcPr>
          <w:p>
            <w:pPr>
              <w:spacing w:before="40" w:after="40" w:line="300" w:lineRule="auto"/>
            </w:pPr>
            <w:r/>
            <w:r>
              <w:rPr>
                <w:rFonts w:ascii="Times New Roman" w:hAnsi="Times New Roman" w:eastAsia="黑体"/>
                <w:b/>
                <w:i w:val="0"/>
                <w:color w:val="1F3D5C"/>
                <w:sz w:val="21"/>
              </w:rPr>
              <w:t>层次</w:t>
            </w:r>
          </w:p>
        </w:tc>
        <w:tc>
          <w:tcPr>
            <w:tcW w:type="dxa" w:w="2948"/>
            <w:shd w:val="clear" w:color="auto" w:fill="DCE6F1"/>
          </w:tcPr>
          <w:p>
            <w:pPr>
              <w:spacing w:before="40" w:after="40" w:line="300" w:lineRule="auto"/>
            </w:pPr>
            <w:r/>
            <w:r>
              <w:rPr>
                <w:rFonts w:ascii="Times New Roman" w:hAnsi="Times New Roman" w:eastAsia="黑体"/>
                <w:b/>
                <w:i w:val="0"/>
                <w:color w:val="1F3D5C"/>
                <w:sz w:val="21"/>
              </w:rPr>
              <w:t>问题现象</w:t>
            </w:r>
          </w:p>
        </w:tc>
        <w:tc>
          <w:tcPr>
            <w:tcW w:type="dxa" w:w="3515"/>
            <w:shd w:val="clear" w:color="auto" w:fill="DCE6F1"/>
          </w:tcPr>
          <w:p>
            <w:pPr>
              <w:spacing w:before="40" w:after="40" w:line="300" w:lineRule="auto"/>
            </w:pPr>
            <w:r/>
            <w:r>
              <w:rPr>
                <w:rFonts w:ascii="Times New Roman" w:hAnsi="Times New Roman" w:eastAsia="黑体"/>
                <w:b/>
                <w:i w:val="0"/>
                <w:color w:val="1F3D5C"/>
                <w:sz w:val="21"/>
              </w:rPr>
              <w:t>根因</w:t>
            </w:r>
          </w:p>
        </w:tc>
      </w:tr>
      <w:tr>
        <w:tc>
          <w:tcPr>
            <w:tcW w:type="dxa" w:w="794"/>
          </w:tcPr>
          <w:p>
            <w:pPr>
              <w:spacing w:before="40" w:after="40" w:line="300" w:lineRule="auto"/>
            </w:pPr>
            <w:r/>
            <w:r>
              <w:rPr>
                <w:rFonts w:ascii="Times New Roman" w:hAnsi="Times New Roman" w:eastAsia="宋体"/>
                <w:b w:val="0"/>
                <w:i w:val="0"/>
                <w:color w:val="1B1B1B"/>
                <w:sz w:val="21"/>
              </w:rPr>
              <w:t>P1</w:t>
            </w:r>
          </w:p>
        </w:tc>
        <w:tc>
          <w:tcPr>
            <w:tcW w:type="dxa" w:w="1474"/>
          </w:tcPr>
          <w:p>
            <w:pPr>
              <w:spacing w:before="40" w:after="40" w:line="300" w:lineRule="auto"/>
            </w:pPr>
            <w:r/>
            <w:r>
              <w:rPr>
                <w:rFonts w:ascii="Times New Roman" w:hAnsi="Times New Roman" w:eastAsia="宋体"/>
                <w:b w:val="0"/>
                <w:i w:val="0"/>
                <w:color w:val="1B1B1B"/>
                <w:sz w:val="21"/>
              </w:rPr>
              <w:t>运行环境</w:t>
            </w:r>
          </w:p>
        </w:tc>
        <w:tc>
          <w:tcPr>
            <w:tcW w:type="dxa" w:w="2948"/>
          </w:tcPr>
          <w:p>
            <w:pPr>
              <w:spacing w:before="40" w:after="40" w:line="300" w:lineRule="auto"/>
            </w:pPr>
            <w:r/>
            <w:r>
              <w:rPr>
                <w:rFonts w:ascii="Times New Roman" w:hAnsi="Times New Roman" w:eastAsia="宋体"/>
                <w:b w:val="0"/>
                <w:i w:val="0"/>
                <w:color w:val="1B1B1B"/>
                <w:sz w:val="21"/>
              </w:rPr>
              <w:t>智能体框架启动即崩溃</w:t>
            </w:r>
          </w:p>
        </w:tc>
        <w:tc>
          <w:tcPr>
            <w:tcW w:type="dxa" w:w="3515"/>
          </w:tcPr>
          <w:p>
            <w:pPr>
              <w:spacing w:before="40" w:after="40" w:line="300" w:lineRule="auto"/>
            </w:pPr>
            <w:r/>
            <w:r>
              <w:rPr>
                <w:rFonts w:ascii="Times New Roman" w:hAnsi="Times New Roman" w:eastAsia="宋体"/>
                <w:b w:val="0"/>
                <w:i w:val="0"/>
                <w:color w:val="1B1B1B"/>
                <w:sz w:val="21"/>
              </w:rPr>
              <w:t>框架默认启用消息队列组件，但运行环境未提供所需认证上下文</w:t>
            </w:r>
          </w:p>
        </w:tc>
      </w:tr>
      <w:tr>
        <w:tc>
          <w:tcPr>
            <w:tcW w:type="dxa" w:w="794"/>
          </w:tcPr>
          <w:p>
            <w:pPr>
              <w:spacing w:before="40" w:after="40" w:line="300" w:lineRule="auto"/>
            </w:pPr>
            <w:r/>
            <w:r>
              <w:rPr>
                <w:rFonts w:ascii="Times New Roman" w:hAnsi="Times New Roman" w:eastAsia="宋体"/>
                <w:b w:val="0"/>
                <w:i w:val="0"/>
                <w:color w:val="1B1B1B"/>
                <w:sz w:val="21"/>
              </w:rPr>
              <w:t>P2</w:t>
            </w:r>
          </w:p>
        </w:tc>
        <w:tc>
          <w:tcPr>
            <w:tcW w:type="dxa" w:w="1474"/>
          </w:tcPr>
          <w:p>
            <w:pPr>
              <w:spacing w:before="40" w:after="40" w:line="300" w:lineRule="auto"/>
            </w:pPr>
            <w:r/>
            <w:r>
              <w:rPr>
                <w:rFonts w:ascii="Times New Roman" w:hAnsi="Times New Roman" w:eastAsia="宋体"/>
                <w:b w:val="0"/>
                <w:i w:val="0"/>
                <w:color w:val="1B1B1B"/>
                <w:sz w:val="21"/>
              </w:rPr>
              <w:t>网络可达</w:t>
            </w:r>
          </w:p>
        </w:tc>
        <w:tc>
          <w:tcPr>
            <w:tcW w:type="dxa" w:w="2948"/>
          </w:tcPr>
          <w:p>
            <w:pPr>
              <w:spacing w:before="40" w:after="40" w:line="300" w:lineRule="auto"/>
            </w:pPr>
            <w:r/>
            <w:r>
              <w:rPr>
                <w:rFonts w:ascii="Times New Roman" w:hAnsi="Times New Roman" w:eastAsia="宋体"/>
                <w:b w:val="0"/>
                <w:i w:val="0"/>
                <w:color w:val="1B1B1B"/>
                <w:sz w:val="21"/>
              </w:rPr>
              <w:t>SSH 可连接，业务端口无法从公网访问</w:t>
            </w:r>
          </w:p>
        </w:tc>
        <w:tc>
          <w:tcPr>
            <w:tcW w:type="dxa" w:w="3515"/>
          </w:tcPr>
          <w:p>
            <w:pPr>
              <w:spacing w:before="40" w:after="40" w:line="300" w:lineRule="auto"/>
            </w:pPr>
            <w:r/>
            <w:r>
              <w:rPr>
                <w:rFonts w:ascii="Times New Roman" w:hAnsi="Times New Roman" w:eastAsia="宋体"/>
                <w:b w:val="0"/>
                <w:i w:val="0"/>
                <w:color w:val="1B1B1B"/>
                <w:sz w:val="21"/>
              </w:rPr>
              <w:t>云安全组已放行，但主机防火墙默认拒绝且未放行该端口</w:t>
            </w:r>
          </w:p>
        </w:tc>
      </w:tr>
      <w:tr>
        <w:tc>
          <w:tcPr>
            <w:tcW w:type="dxa" w:w="794"/>
          </w:tcPr>
          <w:p>
            <w:pPr>
              <w:spacing w:before="40" w:after="40" w:line="300" w:lineRule="auto"/>
            </w:pPr>
            <w:r/>
            <w:r>
              <w:rPr>
                <w:rFonts w:ascii="Times New Roman" w:hAnsi="Times New Roman" w:eastAsia="宋体"/>
                <w:b w:val="0"/>
                <w:i w:val="0"/>
                <w:color w:val="1B1B1B"/>
                <w:sz w:val="21"/>
              </w:rPr>
              <w:t>P3</w:t>
            </w:r>
          </w:p>
        </w:tc>
        <w:tc>
          <w:tcPr>
            <w:tcW w:type="dxa" w:w="1474"/>
          </w:tcPr>
          <w:p>
            <w:pPr>
              <w:spacing w:before="40" w:after="40" w:line="300" w:lineRule="auto"/>
            </w:pPr>
            <w:r/>
            <w:r>
              <w:rPr>
                <w:rFonts w:ascii="Times New Roman" w:hAnsi="Times New Roman" w:eastAsia="宋体"/>
                <w:b w:val="0"/>
                <w:i w:val="0"/>
                <w:color w:val="1B1B1B"/>
                <w:sz w:val="21"/>
              </w:rPr>
              <w:t>安全通道</w:t>
            </w:r>
          </w:p>
        </w:tc>
        <w:tc>
          <w:tcPr>
            <w:tcW w:type="dxa" w:w="2948"/>
          </w:tcPr>
          <w:p>
            <w:pPr>
              <w:spacing w:before="40" w:after="40" w:line="300" w:lineRule="auto"/>
            </w:pPr>
            <w:r/>
            <w:r>
              <w:rPr>
                <w:rFonts w:ascii="Times New Roman" w:hAnsi="Times New Roman" w:eastAsia="宋体"/>
                <w:b w:val="0"/>
                <w:i w:val="0"/>
                <w:color w:val="1B1B1B"/>
                <w:sz w:val="21"/>
              </w:rPr>
              <w:t>平台调用时 mTLS 握手被拒</w:t>
            </w:r>
          </w:p>
        </w:tc>
        <w:tc>
          <w:tcPr>
            <w:tcW w:type="dxa" w:w="3515"/>
          </w:tcPr>
          <w:p>
            <w:pPr>
              <w:spacing w:before="40" w:after="40" w:line="300" w:lineRule="auto"/>
            </w:pPr>
            <w:r/>
            <w:r>
              <w:rPr>
                <w:rFonts w:ascii="Times New Roman" w:hAnsi="Times New Roman" w:eastAsia="宋体"/>
                <w:b w:val="0"/>
                <w:i w:val="0"/>
                <w:color w:val="1B1B1B"/>
                <w:sz w:val="21"/>
              </w:rPr>
              <w:t>证书扩展密钥用途与其承担的角色不匹配</w:t>
            </w:r>
          </w:p>
        </w:tc>
      </w:tr>
      <w:tr>
        <w:tc>
          <w:tcPr>
            <w:tcW w:type="dxa" w:w="794"/>
          </w:tcPr>
          <w:p>
            <w:pPr>
              <w:spacing w:before="40" w:after="40" w:line="300" w:lineRule="auto"/>
            </w:pPr>
            <w:r/>
            <w:r>
              <w:rPr>
                <w:rFonts w:ascii="Times New Roman" w:hAnsi="Times New Roman" w:eastAsia="宋体"/>
                <w:b w:val="0"/>
                <w:i w:val="0"/>
                <w:color w:val="1B1B1B"/>
                <w:sz w:val="21"/>
              </w:rPr>
              <w:t>P4</w:t>
            </w:r>
          </w:p>
        </w:tc>
        <w:tc>
          <w:tcPr>
            <w:tcW w:type="dxa" w:w="1474"/>
          </w:tcPr>
          <w:p>
            <w:pPr>
              <w:spacing w:before="40" w:after="40" w:line="300" w:lineRule="auto"/>
            </w:pPr>
            <w:r/>
            <w:r>
              <w:rPr>
                <w:rFonts w:ascii="Times New Roman" w:hAnsi="Times New Roman" w:eastAsia="宋体"/>
                <w:b w:val="0"/>
                <w:i w:val="0"/>
                <w:color w:val="1B1B1B"/>
                <w:sz w:val="21"/>
              </w:rPr>
              <w:t>安全通道</w:t>
            </w:r>
          </w:p>
        </w:tc>
        <w:tc>
          <w:tcPr>
            <w:tcW w:type="dxa" w:w="2948"/>
          </w:tcPr>
          <w:p>
            <w:pPr>
              <w:spacing w:before="40" w:after="40" w:line="300" w:lineRule="auto"/>
            </w:pPr>
            <w:r/>
            <w:r>
              <w:rPr>
                <w:rFonts w:ascii="Times New Roman" w:hAnsi="Times New Roman" w:eastAsia="宋体"/>
                <w:b w:val="0"/>
                <w:i w:val="0"/>
                <w:color w:val="1B1B1B"/>
                <w:sz w:val="21"/>
              </w:rPr>
              <w:t>握手成功后请求仍被拒绝</w:t>
            </w:r>
          </w:p>
        </w:tc>
        <w:tc>
          <w:tcPr>
            <w:tcW w:type="dxa" w:w="3515"/>
          </w:tcPr>
          <w:p>
            <w:pPr>
              <w:spacing w:before="40" w:after="40" w:line="300" w:lineRule="auto"/>
            </w:pPr>
            <w:r/>
            <w:r>
              <w:rPr>
                <w:rFonts w:ascii="Times New Roman" w:hAnsi="Times New Roman" w:eastAsia="宋体"/>
                <w:b w:val="0"/>
                <w:i w:val="0"/>
                <w:color w:val="1B1B1B"/>
                <w:sz w:val="21"/>
              </w:rPr>
              <w:t>报文发送方标识与证书主体名不一致</w:t>
            </w:r>
          </w:p>
        </w:tc>
      </w:tr>
      <w:tr>
        <w:tc>
          <w:tcPr>
            <w:tcW w:type="dxa" w:w="794"/>
          </w:tcPr>
          <w:p>
            <w:pPr>
              <w:spacing w:before="40" w:after="40" w:line="300" w:lineRule="auto"/>
            </w:pPr>
            <w:r/>
            <w:r>
              <w:rPr>
                <w:rFonts w:ascii="Times New Roman" w:hAnsi="Times New Roman" w:eastAsia="宋体"/>
                <w:b w:val="0"/>
                <w:i w:val="0"/>
                <w:color w:val="1B1B1B"/>
                <w:sz w:val="21"/>
              </w:rPr>
              <w:t>P5</w:t>
            </w:r>
          </w:p>
        </w:tc>
        <w:tc>
          <w:tcPr>
            <w:tcW w:type="dxa" w:w="1474"/>
          </w:tcPr>
          <w:p>
            <w:pPr>
              <w:spacing w:before="40" w:after="40" w:line="300" w:lineRule="auto"/>
            </w:pPr>
            <w:r/>
            <w:r>
              <w:rPr>
                <w:rFonts w:ascii="Times New Roman" w:hAnsi="Times New Roman" w:eastAsia="宋体"/>
                <w:b w:val="0"/>
                <w:i w:val="0"/>
                <w:color w:val="1B1B1B"/>
                <w:sz w:val="21"/>
              </w:rPr>
              <w:t>协议与语义</w:t>
            </w:r>
          </w:p>
        </w:tc>
        <w:tc>
          <w:tcPr>
            <w:tcW w:type="dxa" w:w="2948"/>
          </w:tcPr>
          <w:p>
            <w:pPr>
              <w:spacing w:before="40" w:after="40" w:line="300" w:lineRule="auto"/>
            </w:pPr>
            <w:r/>
            <w:r>
              <w:rPr>
                <w:rFonts w:ascii="Times New Roman" w:hAnsi="Times New Roman" w:eastAsia="宋体"/>
                <w:b w:val="0"/>
                <w:i w:val="0"/>
                <w:color w:val="1B1B1B"/>
                <w:sz w:val="21"/>
              </w:rPr>
              <w:t>智能体判定请求与自身职责无关而拒答</w:t>
            </w:r>
          </w:p>
        </w:tc>
        <w:tc>
          <w:tcPr>
            <w:tcW w:type="dxa" w:w="3515"/>
          </w:tcPr>
          <w:p>
            <w:pPr>
              <w:spacing w:before="40" w:after="40" w:line="300" w:lineRule="auto"/>
            </w:pPr>
            <w:r/>
            <w:r>
              <w:rPr>
                <w:rFonts w:ascii="Times New Roman" w:hAnsi="Times New Roman" w:eastAsia="宋体"/>
                <w:b w:val="0"/>
                <w:i w:val="0"/>
                <w:color w:val="1B1B1B"/>
                <w:sz w:val="21"/>
              </w:rPr>
              <w:t>判定阶段把上级的编排说明误当作任务内容</w:t>
            </w:r>
          </w:p>
        </w:tc>
      </w:tr>
      <w:tr>
        <w:tc>
          <w:tcPr>
            <w:tcW w:type="dxa" w:w="794"/>
          </w:tcPr>
          <w:p>
            <w:pPr>
              <w:spacing w:before="40" w:after="40" w:line="300" w:lineRule="auto"/>
            </w:pPr>
            <w:r/>
            <w:r>
              <w:rPr>
                <w:rFonts w:ascii="Times New Roman" w:hAnsi="Times New Roman" w:eastAsia="宋体"/>
                <w:b w:val="0"/>
                <w:i w:val="0"/>
                <w:color w:val="1B1B1B"/>
                <w:sz w:val="21"/>
              </w:rPr>
              <w:t>P6</w:t>
            </w:r>
          </w:p>
        </w:tc>
        <w:tc>
          <w:tcPr>
            <w:tcW w:type="dxa" w:w="1474"/>
          </w:tcPr>
          <w:p>
            <w:pPr>
              <w:spacing w:before="40" w:after="40" w:line="300" w:lineRule="auto"/>
            </w:pPr>
            <w:r/>
            <w:r>
              <w:rPr>
                <w:rFonts w:ascii="Times New Roman" w:hAnsi="Times New Roman" w:eastAsia="宋体"/>
                <w:b w:val="0"/>
                <w:i w:val="0"/>
                <w:color w:val="1B1B1B"/>
                <w:sz w:val="21"/>
              </w:rPr>
              <w:t>协议与语义</w:t>
            </w:r>
          </w:p>
        </w:tc>
        <w:tc>
          <w:tcPr>
            <w:tcW w:type="dxa" w:w="2948"/>
          </w:tcPr>
          <w:p>
            <w:pPr>
              <w:spacing w:before="40" w:after="40" w:line="300" w:lineRule="auto"/>
            </w:pPr>
            <w:r/>
            <w:r>
              <w:rPr>
                <w:rFonts w:ascii="Times New Roman" w:hAnsi="Times New Roman" w:eastAsia="宋体"/>
                <w:b w:val="0"/>
                <w:i w:val="0"/>
                <w:color w:val="1B1B1B"/>
                <w:sz w:val="21"/>
              </w:rPr>
              <w:t>智能体正常回复，但内容与用户问题无关</w:t>
            </w:r>
          </w:p>
        </w:tc>
        <w:tc>
          <w:tcPr>
            <w:tcW w:type="dxa" w:w="3515"/>
          </w:tcPr>
          <w:p>
            <w:pPr>
              <w:spacing w:before="40" w:after="40" w:line="300" w:lineRule="auto"/>
            </w:pPr>
            <w:r/>
            <w:r>
              <w:rPr>
                <w:rFonts w:ascii="Times New Roman" w:hAnsi="Times New Roman" w:eastAsia="宋体"/>
                <w:b w:val="0"/>
                <w:i w:val="0"/>
                <w:color w:val="1B1B1B"/>
                <w:sz w:val="21"/>
              </w:rPr>
              <w:t>上级派发的任务内容中缺少用户的原始问题</w:t>
            </w:r>
          </w:p>
        </w:tc>
      </w:tr>
      <w:tr>
        <w:tc>
          <w:tcPr>
            <w:tcW w:type="dxa" w:w="794"/>
          </w:tcPr>
          <w:p>
            <w:pPr>
              <w:spacing w:before="40" w:after="40" w:line="300" w:lineRule="auto"/>
            </w:pPr>
            <w:r/>
            <w:r>
              <w:rPr>
                <w:rFonts w:ascii="Times New Roman" w:hAnsi="Times New Roman" w:eastAsia="宋体"/>
                <w:b w:val="0"/>
                <w:i w:val="0"/>
                <w:color w:val="1B1B1B"/>
                <w:sz w:val="21"/>
              </w:rPr>
              <w:t>P7</w:t>
            </w:r>
          </w:p>
        </w:tc>
        <w:tc>
          <w:tcPr>
            <w:tcW w:type="dxa" w:w="1474"/>
          </w:tcPr>
          <w:p>
            <w:pPr>
              <w:spacing w:before="40" w:after="40" w:line="300" w:lineRule="auto"/>
            </w:pPr>
            <w:r/>
            <w:r>
              <w:rPr>
                <w:rFonts w:ascii="Times New Roman" w:hAnsi="Times New Roman" w:eastAsia="宋体"/>
                <w:b w:val="0"/>
                <w:i w:val="0"/>
                <w:color w:val="1B1B1B"/>
                <w:sz w:val="21"/>
              </w:rPr>
              <w:t>协议与语义</w:t>
            </w:r>
          </w:p>
        </w:tc>
        <w:tc>
          <w:tcPr>
            <w:tcW w:type="dxa" w:w="2948"/>
          </w:tcPr>
          <w:p>
            <w:pPr>
              <w:spacing w:before="40" w:after="40" w:line="300" w:lineRule="auto"/>
            </w:pPr>
            <w:r/>
            <w:r>
              <w:rPr>
                <w:rFonts w:ascii="Times New Roman" w:hAnsi="Times New Roman" w:eastAsia="宋体"/>
                <w:b w:val="0"/>
                <w:i w:val="0"/>
                <w:color w:val="1B1B1B"/>
                <w:sz w:val="21"/>
              </w:rPr>
              <w:t>任务长时间停留在执行中</w:t>
            </w:r>
          </w:p>
        </w:tc>
        <w:tc>
          <w:tcPr>
            <w:tcW w:type="dxa" w:w="3515"/>
          </w:tcPr>
          <w:p>
            <w:pPr>
              <w:spacing w:before="40" w:after="40" w:line="300" w:lineRule="auto"/>
            </w:pPr>
            <w:r/>
            <w:r>
              <w:rPr>
                <w:rFonts w:ascii="Times New Roman" w:hAnsi="Times New Roman" w:eastAsia="宋体"/>
                <w:b w:val="0"/>
                <w:i w:val="0"/>
                <w:color w:val="1B1B1B"/>
                <w:sz w:val="21"/>
              </w:rPr>
              <w:t>客户端超时阈值小于实际处理耗时，且超时被错误重试</w:t>
            </w:r>
          </w:p>
        </w:tc>
      </w:tr>
      <w:tr>
        <w:tc>
          <w:tcPr>
            <w:tcW w:type="dxa" w:w="794"/>
          </w:tcPr>
          <w:p>
            <w:pPr>
              <w:spacing w:before="40" w:after="40" w:line="300" w:lineRule="auto"/>
            </w:pPr>
            <w:r/>
            <w:r>
              <w:rPr>
                <w:rFonts w:ascii="Times New Roman" w:hAnsi="Times New Roman" w:eastAsia="宋体"/>
                <w:b w:val="0"/>
                <w:i w:val="0"/>
                <w:color w:val="1B1B1B"/>
                <w:sz w:val="21"/>
              </w:rPr>
              <w:t>P8</w:t>
            </w:r>
          </w:p>
        </w:tc>
        <w:tc>
          <w:tcPr>
            <w:tcW w:type="dxa" w:w="1474"/>
          </w:tcPr>
          <w:p>
            <w:pPr>
              <w:spacing w:before="40" w:after="40" w:line="300" w:lineRule="auto"/>
            </w:pPr>
            <w:r/>
            <w:r>
              <w:rPr>
                <w:rFonts w:ascii="Times New Roman" w:hAnsi="Times New Roman" w:eastAsia="宋体"/>
                <w:b w:val="0"/>
                <w:i w:val="0"/>
                <w:color w:val="1B1B1B"/>
                <w:sz w:val="21"/>
              </w:rPr>
              <w:t>可观测与调度</w:t>
            </w:r>
          </w:p>
        </w:tc>
        <w:tc>
          <w:tcPr>
            <w:tcW w:type="dxa" w:w="2948"/>
          </w:tcPr>
          <w:p>
            <w:pPr>
              <w:spacing w:before="40" w:after="40" w:line="300" w:lineRule="auto"/>
            </w:pPr>
            <w:r/>
            <w:r>
              <w:rPr>
                <w:rFonts w:ascii="Times New Roman" w:hAnsi="Times New Roman" w:eastAsia="宋体"/>
                <w:b w:val="0"/>
                <w:i w:val="0"/>
                <w:color w:val="1B1B1B"/>
                <w:sz w:val="21"/>
              </w:rPr>
              <w:t>注册审核通过，但始终无法被平台发现</w:t>
            </w:r>
          </w:p>
        </w:tc>
        <w:tc>
          <w:tcPr>
            <w:tcW w:type="dxa" w:w="3515"/>
          </w:tcPr>
          <w:p>
            <w:pPr>
              <w:spacing w:before="40" w:after="40" w:line="300" w:lineRule="auto"/>
            </w:pPr>
            <w:r/>
            <w:r>
              <w:rPr>
                <w:rFonts w:ascii="Times New Roman" w:hAnsi="Times New Roman" w:eastAsia="宋体"/>
                <w:b w:val="0"/>
                <w:i w:val="0"/>
                <w:color w:val="1B1B1B"/>
                <w:sz w:val="21"/>
              </w:rPr>
              <w:t>AMP 心跳日志未上报到平台</w:t>
            </w:r>
          </w:p>
        </w:tc>
      </w:tr>
      <w:tr>
        <w:tc>
          <w:tcPr>
            <w:tcW w:type="dxa" w:w="794"/>
          </w:tcPr>
          <w:p>
            <w:pPr>
              <w:spacing w:before="40" w:after="40" w:line="300" w:lineRule="auto"/>
            </w:pPr>
            <w:r/>
            <w:r>
              <w:rPr>
                <w:rFonts w:ascii="Times New Roman" w:hAnsi="Times New Roman" w:eastAsia="宋体"/>
                <w:b w:val="0"/>
                <w:i w:val="0"/>
                <w:color w:val="1B1B1B"/>
                <w:sz w:val="21"/>
              </w:rPr>
              <w:t>P9</w:t>
            </w:r>
          </w:p>
        </w:tc>
        <w:tc>
          <w:tcPr>
            <w:tcW w:type="dxa" w:w="1474"/>
          </w:tcPr>
          <w:p>
            <w:pPr>
              <w:spacing w:before="40" w:after="40" w:line="300" w:lineRule="auto"/>
            </w:pPr>
            <w:r/>
            <w:r>
              <w:rPr>
                <w:rFonts w:ascii="Times New Roman" w:hAnsi="Times New Roman" w:eastAsia="宋体"/>
                <w:b w:val="0"/>
                <w:i w:val="0"/>
                <w:color w:val="1B1B1B"/>
                <w:sz w:val="21"/>
              </w:rPr>
              <w:t>可观测与调度</w:t>
            </w:r>
          </w:p>
        </w:tc>
        <w:tc>
          <w:tcPr>
            <w:tcW w:type="dxa" w:w="2948"/>
          </w:tcPr>
          <w:p>
            <w:pPr>
              <w:spacing w:before="40" w:after="40" w:line="300" w:lineRule="auto"/>
            </w:pPr>
            <w:r/>
            <w:r>
              <w:rPr>
                <w:rFonts w:ascii="Times New Roman" w:hAnsi="Times New Roman" w:eastAsia="宋体"/>
                <w:b w:val="0"/>
                <w:i w:val="0"/>
                <w:color w:val="1B1B1B"/>
                <w:sz w:val="21"/>
              </w:rPr>
              <w:t>平台报智能体繁忙</w:t>
            </w:r>
          </w:p>
        </w:tc>
        <w:tc>
          <w:tcPr>
            <w:tcW w:type="dxa" w:w="3515"/>
          </w:tcPr>
          <w:p>
            <w:pPr>
              <w:spacing w:before="40" w:after="40" w:line="300" w:lineRule="auto"/>
            </w:pPr>
            <w:r/>
            <w:r>
              <w:rPr>
                <w:rFonts w:ascii="Times New Roman" w:hAnsi="Times New Roman" w:eastAsia="宋体"/>
                <w:b w:val="0"/>
                <w:i w:val="0"/>
                <w:color w:val="1B1B1B"/>
                <w:sz w:val="21"/>
              </w:rPr>
              <w:t>并发上限被历史任务占满，且框架缺少任务过期机制</w:t>
            </w:r>
          </w:p>
        </w:tc>
      </w:tr>
    </w:tbl>
    <w:p>
      <w:pPr>
        <w:spacing w:after="40"/>
      </w:pPr>
    </w:p>
    <w:p>
      <w:pPr>
        <w:spacing w:before="80" w:after="80"/>
        <w:jc w:val="center"/>
      </w:pPr>
      <w:r>
        <w:rPr>
          <w:rFonts w:ascii="Times New Roman" w:hAnsi="Times New Roman" w:eastAsia="黑体"/>
          <w:b w:val="0"/>
          <w:i w:val="0"/>
          <w:color w:val="606A74"/>
          <w:sz w:val="21"/>
        </w:rPr>
        <w:t>表 4-1  问题总览</w:t>
      </w:r>
    </w:p>
    <w:p>
      <w:pPr>
        <w:spacing w:before="200" w:after="120" w:line="312" w:lineRule="auto"/>
      </w:pPr>
      <w:r>
        <w:rPr>
          <w:rFonts w:ascii="Times New Roman" w:hAnsi="Times New Roman" w:eastAsia="黑体"/>
          <w:b/>
          <w:i w:val="0"/>
          <w:color w:val="1B1B1B"/>
          <w:sz w:val="25"/>
        </w:rPr>
        <w:t>4.1  P1：框架启动即崩溃</w:t>
      </w:r>
    </w:p>
    <w:p>
      <w:pPr>
        <w:spacing w:before="0" w:after="120" w:line="360" w:lineRule="auto"/>
        <w:ind w:firstLine="480"/>
      </w:pPr>
      <w:r>
        <w:rPr>
          <w:rFonts w:ascii="Times New Roman" w:hAnsi="Times New Roman" w:eastAsia="宋体"/>
          <w:b w:val="0"/>
          <w:i w:val="0"/>
          <w:color w:val="1B1B1B"/>
          <w:sz w:val="24"/>
        </w:rPr>
        <w:t>现象：智能体进程启动后立即退出，服务管理器反复重启，日志报安全上下文相关的错误。</w:t>
      </w:r>
    </w:p>
    <w:p>
      <w:pPr>
        <w:spacing w:before="0" w:after="120" w:line="360" w:lineRule="auto"/>
        <w:ind w:firstLine="480"/>
      </w:pPr>
      <w:r>
        <w:rPr>
          <w:rFonts w:ascii="Times New Roman" w:hAnsi="Times New Roman" w:eastAsia="宋体"/>
          <w:b w:val="0"/>
          <w:i w:val="0"/>
          <w:color w:val="1B1B1B"/>
          <w:sz w:val="24"/>
        </w:rPr>
        <w:t>定位：错误出在群组消息处理组件的初始化路径上。这个组件在框架默认配置下会被启用，并尝试以外部认证方式建立消息队列连接，但运行环境里并没有对应的客户端证书上下文。</w:t>
      </w:r>
    </w:p>
    <w:p>
      <w:pPr>
        <w:spacing w:before="0" w:after="120" w:line="360" w:lineRule="auto"/>
        <w:ind w:firstLine="480"/>
      </w:pPr>
      <w:r>
        <w:rPr>
          <w:rFonts w:ascii="Times New Roman" w:hAnsi="Times New Roman" w:eastAsia="宋体"/>
          <w:b w:val="0"/>
          <w:i w:val="0"/>
          <w:color w:val="1B1B1B"/>
          <w:sz w:val="24"/>
        </w:rPr>
        <w:t>根因：框架默认声明并启用了消息队列能力，但实际部署根本没用消息队列，声明和实际不一致。</w:t>
      </w:r>
    </w:p>
    <w:p>
      <w:pPr>
        <w:spacing w:before="0" w:after="120" w:line="360" w:lineRule="auto"/>
        <w:ind w:firstLine="480"/>
      </w:pPr>
      <w:r>
        <w:rPr>
          <w:rFonts w:ascii="Times New Roman" w:hAnsi="Times New Roman" w:eastAsia="宋体"/>
          <w:b w:val="0"/>
          <w:i w:val="0"/>
          <w:color w:val="1B1B1B"/>
          <w:sz w:val="24"/>
        </w:rPr>
        <w:t>解决：启动时读 ACS 里的能力声明，只有声明了非空的消息队列能力时才装配并启动群组处理组件。</w:t>
      </w:r>
    </w:p>
    <w:p>
      <w:pPr>
        <w:spacing w:before="0" w:after="120" w:line="360" w:lineRule="auto"/>
        <w:ind w:firstLine="480"/>
      </w:pPr>
      <w:r>
        <w:rPr>
          <w:rFonts w:ascii="Times New Roman" w:hAnsi="Times New Roman" w:eastAsia="宋体"/>
          <w:b w:val="0"/>
          <w:i w:val="0"/>
          <w:color w:val="1B1B1B"/>
          <w:sz w:val="24"/>
        </w:rPr>
        <w:t>验证：服务正常常驻，健康检查端点返回在线。</w:t>
      </w:r>
    </w:p>
    <w:p>
      <w:pPr>
        <w:spacing w:before="200" w:after="120" w:line="312" w:lineRule="auto"/>
      </w:pPr>
      <w:r>
        <w:rPr>
          <w:rFonts w:ascii="Times New Roman" w:hAnsi="Times New Roman" w:eastAsia="黑体"/>
          <w:b/>
          <w:i w:val="0"/>
          <w:color w:val="1B1B1B"/>
          <w:sz w:val="25"/>
        </w:rPr>
        <w:t>4.2  P2：公网端口不可达</w:t>
      </w:r>
    </w:p>
    <w:p>
      <w:pPr>
        <w:spacing w:before="0" w:after="120" w:line="360" w:lineRule="auto"/>
        <w:ind w:firstLine="480"/>
      </w:pPr>
      <w:r>
        <w:rPr>
          <w:rFonts w:ascii="Times New Roman" w:hAnsi="Times New Roman" w:eastAsia="宋体"/>
          <w:b w:val="0"/>
          <w:i w:val="0"/>
          <w:color w:val="1B1B1B"/>
          <w:sz w:val="24"/>
        </w:rPr>
        <w:t>现象：SSH 能连，但业务端口从公网完全连不上；从服务器本机访问该端口一切正常。</w:t>
      </w:r>
    </w:p>
    <w:p>
      <w:pPr>
        <w:spacing w:before="0" w:after="120" w:line="360" w:lineRule="auto"/>
        <w:ind w:firstLine="480"/>
      </w:pPr>
      <w:r>
        <w:rPr>
          <w:rFonts w:ascii="Times New Roman" w:hAnsi="Times New Roman" w:eastAsia="宋体"/>
          <w:b w:val="0"/>
          <w:i w:val="0"/>
          <w:color w:val="1B1B1B"/>
          <w:sz w:val="24"/>
        </w:rPr>
        <w:t>定位：本机可达、公网不可达，问题必然在中间链路。先查云平台安全组，确认已放行业务端口；再查主机侧防火墙，发现它是启用状态、默认入站策略是拒绝，规则里只有 SSH。</w:t>
      </w:r>
    </w:p>
    <w:p>
      <w:pPr>
        <w:spacing w:before="0" w:after="120" w:line="360" w:lineRule="auto"/>
        <w:ind w:firstLine="480"/>
      </w:pPr>
      <w:r>
        <w:rPr>
          <w:rFonts w:ascii="Times New Roman" w:hAnsi="Times New Roman" w:eastAsia="宋体"/>
          <w:b w:val="0"/>
          <w:i w:val="0"/>
          <w:color w:val="1B1B1B"/>
          <w:sz w:val="24"/>
        </w:rPr>
        <w:t>根因：主机防火墙的默认拒绝策略拦下了业务端口。安全组只是链路里的一道关卡，放行了安全组不等于主机侧也放行。</w:t>
      </w:r>
    </w:p>
    <w:p>
      <w:pPr>
        <w:spacing w:before="0" w:after="120" w:line="360" w:lineRule="auto"/>
        <w:ind w:firstLine="480"/>
      </w:pPr>
      <w:r>
        <w:rPr>
          <w:rFonts w:ascii="Times New Roman" w:hAnsi="Times New Roman" w:eastAsia="宋体"/>
          <w:b w:val="0"/>
          <w:i w:val="0"/>
          <w:color w:val="1B1B1B"/>
          <w:sz w:val="24"/>
        </w:rPr>
        <w:t>解决：在主机防火墙上显式放行业务端口，按最小开放原则只放实际对外提供的服务。</w:t>
      </w:r>
    </w:p>
    <w:p>
      <w:pPr>
        <w:spacing w:before="0" w:after="120" w:line="360" w:lineRule="auto"/>
        <w:ind w:firstLine="480"/>
      </w:pPr>
      <w:r>
        <w:rPr>
          <w:rFonts w:ascii="Times New Roman" w:hAnsi="Times New Roman" w:eastAsia="宋体"/>
          <w:b w:val="0"/>
          <w:i w:val="0"/>
          <w:color w:val="1B1B1B"/>
          <w:sz w:val="24"/>
        </w:rPr>
        <w:t>验证：从公网带客户端证书访问健康检查端点，返回正常。</w:t>
      </w:r>
    </w:p>
    <w:p>
      <w:pPr>
        <w:spacing w:before="200" w:after="120" w:line="312" w:lineRule="auto"/>
      </w:pPr>
      <w:r>
        <w:rPr>
          <w:rFonts w:ascii="Times New Roman" w:hAnsi="Times New Roman" w:eastAsia="黑体"/>
          <w:b/>
          <w:i w:val="0"/>
          <w:color w:val="1B1B1B"/>
          <w:sz w:val="25"/>
        </w:rPr>
        <w:t>4.3  P3：mTLS 握手被拒</w:t>
      </w:r>
    </w:p>
    <w:p>
      <w:pPr>
        <w:spacing w:before="0" w:after="120" w:line="360" w:lineRule="auto"/>
        <w:ind w:firstLine="480"/>
      </w:pPr>
      <w:r>
        <w:rPr>
          <w:rFonts w:ascii="Times New Roman" w:hAnsi="Times New Roman" w:eastAsia="宋体"/>
          <w:b w:val="0"/>
          <w:i w:val="0"/>
          <w:color w:val="1B1B1B"/>
          <w:sz w:val="24"/>
        </w:rPr>
        <w:t>现象：平台侧调用时报握手失败，但在本机用同一套证书测试却正常。</w:t>
      </w:r>
    </w:p>
    <w:p>
      <w:pPr>
        <w:spacing w:before="0" w:after="120" w:line="360" w:lineRule="auto"/>
        <w:ind w:firstLine="480"/>
      </w:pPr>
      <w:r>
        <w:rPr>
          <w:rFonts w:ascii="Times New Roman" w:hAnsi="Times New Roman" w:eastAsia="宋体"/>
          <w:b w:val="0"/>
          <w:i w:val="0"/>
          <w:color w:val="1B1B1B"/>
          <w:sz w:val="24"/>
        </w:rPr>
        <w:t>定位：在本机复现握手并检查证书扩展字段，发现证书的扩展密钥用途是客户端认证，而它被拿去当服务端证书用。平台作为调用方出示的是客户端证书，本端却要求对方证明自己是服务端，双向校验的语义对不上。</w:t>
      </w:r>
    </w:p>
    <w:p>
      <w:pPr>
        <w:spacing w:before="0" w:after="120" w:line="360" w:lineRule="auto"/>
        <w:ind w:firstLine="480"/>
      </w:pPr>
      <w:r>
        <w:rPr>
          <w:rFonts w:ascii="Times New Roman" w:hAnsi="Times New Roman" w:eastAsia="宋体"/>
          <w:b w:val="0"/>
          <w:i w:val="0"/>
          <w:color w:val="1B1B1B"/>
          <w:sz w:val="24"/>
        </w:rPr>
        <w:t>根因：签发时没指定用途，默认按客户端证书签发，拿去当服务端用就校验失败。</w:t>
      </w:r>
    </w:p>
    <w:p>
      <w:pPr>
        <w:spacing w:before="0" w:after="120" w:line="360" w:lineRule="auto"/>
        <w:ind w:firstLine="480"/>
      </w:pPr>
      <w:r>
        <w:rPr>
          <w:rFonts w:ascii="Times New Roman" w:hAnsi="Times New Roman" w:eastAsia="宋体"/>
          <w:b w:val="0"/>
          <w:i w:val="0"/>
          <w:color w:val="1B1B1B"/>
          <w:sz w:val="24"/>
        </w:rPr>
        <w:t>解决：服务端角色单独签发一份带服务端认证用途的证书，客户端角色保留客户端认证用途，两者分开；服务端配置指向服务端证书，出站调用用客户端证书。</w:t>
      </w:r>
    </w:p>
    <w:p>
      <w:pPr>
        <w:spacing w:before="0" w:after="120" w:line="360" w:lineRule="auto"/>
        <w:ind w:firstLine="480"/>
      </w:pPr>
      <w:r>
        <w:rPr>
          <w:rFonts w:ascii="Times New Roman" w:hAnsi="Times New Roman" w:eastAsia="宋体"/>
          <w:b w:val="0"/>
          <w:i w:val="0"/>
          <w:color w:val="1B1B1B"/>
          <w:sz w:val="24"/>
        </w:rPr>
        <w:t>验证：重新签发后平台调用在传输层顺利通过。</w:t>
      </w:r>
    </w:p>
    <w:p>
      <w:pPr>
        <w:spacing w:before="200" w:after="120" w:line="312" w:lineRule="auto"/>
      </w:pPr>
      <w:r>
        <w:rPr>
          <w:rFonts w:ascii="Times New Roman" w:hAnsi="Times New Roman" w:eastAsia="黑体"/>
          <w:b/>
          <w:i w:val="0"/>
          <w:color w:val="1B1B1B"/>
          <w:sz w:val="25"/>
        </w:rPr>
        <w:t>4.4  P4：身份绑定校验失败</w:t>
      </w:r>
    </w:p>
    <w:p>
      <w:pPr>
        <w:spacing w:before="0" w:after="120" w:line="360" w:lineRule="auto"/>
        <w:ind w:firstLine="480"/>
      </w:pPr>
      <w:r>
        <w:rPr>
          <w:rFonts w:ascii="Times New Roman" w:hAnsi="Times New Roman" w:eastAsia="宋体"/>
          <w:b w:val="0"/>
          <w:i w:val="0"/>
          <w:color w:val="1B1B1B"/>
          <w:sz w:val="24"/>
        </w:rPr>
        <w:t>现象：传输层握手成功了，请求在应用层仍然被拒绝。</w:t>
      </w:r>
    </w:p>
    <w:p>
      <w:pPr>
        <w:spacing w:before="0" w:after="120" w:line="360" w:lineRule="auto"/>
        <w:ind w:firstLine="480"/>
      </w:pPr>
      <w:r>
        <w:rPr>
          <w:rFonts w:ascii="Times New Roman" w:hAnsi="Times New Roman" w:eastAsia="宋体"/>
          <w:b w:val="0"/>
          <w:i w:val="0"/>
          <w:color w:val="1B1B1B"/>
          <w:sz w:val="24"/>
        </w:rPr>
        <w:t>定位：对照平台规范，确认应用层还会校验报文的发送方标识与客户端证书主体名是否一致。检查报文构造过程发现，自测时用的是从证书里解析出来的主体名，而正式通信里这个值由平台填；自测能过恰好说明证书本身没问题，问题在身份主键没统一。</w:t>
      </w:r>
    </w:p>
    <w:p>
      <w:pPr>
        <w:spacing w:before="0" w:after="120" w:line="360" w:lineRule="auto"/>
        <w:ind w:firstLine="480"/>
      </w:pPr>
      <w:r>
        <w:rPr>
          <w:rFonts w:ascii="Times New Roman" w:hAnsi="Times New Roman" w:eastAsia="宋体"/>
          <w:b w:val="0"/>
          <w:i w:val="0"/>
          <w:color w:val="1B1B1B"/>
          <w:sz w:val="24"/>
        </w:rPr>
        <w:t>根因：身份绑定是应用层校验，和传输层独立。两边不一致就是拒绝。</w:t>
      </w:r>
    </w:p>
    <w:p>
      <w:pPr>
        <w:spacing w:before="0" w:after="120" w:line="360" w:lineRule="auto"/>
        <w:ind w:firstLine="480"/>
      </w:pPr>
      <w:r>
        <w:rPr>
          <w:rFonts w:ascii="Times New Roman" w:hAnsi="Times New Roman" w:eastAsia="宋体"/>
          <w:b w:val="0"/>
          <w:i w:val="0"/>
          <w:color w:val="1B1B1B"/>
          <w:sz w:val="24"/>
        </w:rPr>
        <w:t>解决：统一拿 AIC 当身份主键——证书主体名、报文发送方标识、ACS 的 aic 字段、日志的 aic 字段全取同一个值，并在自检工具里把这一项列为必检。</w:t>
      </w:r>
    </w:p>
    <w:p>
      <w:pPr>
        <w:spacing w:before="0" w:after="120" w:line="360" w:lineRule="auto"/>
        <w:ind w:firstLine="480"/>
      </w:pPr>
      <w:r>
        <w:rPr>
          <w:rFonts w:ascii="Times New Roman" w:hAnsi="Times New Roman" w:eastAsia="宋体"/>
          <w:b w:val="0"/>
          <w:i w:val="0"/>
          <w:color w:val="1B1B1B"/>
          <w:sz w:val="24"/>
        </w:rPr>
        <w:t>验证：自检工具输出“证书主体名与 AIC 一致”。</w:t>
      </w:r>
    </w:p>
    <w:p>
      <w:pPr>
        <w:spacing w:before="200" w:after="120" w:line="312" w:lineRule="auto"/>
      </w:pPr>
      <w:r>
        <w:rPr>
          <w:rFonts w:ascii="Times New Roman" w:hAnsi="Times New Roman" w:eastAsia="黑体"/>
          <w:b/>
          <w:i w:val="0"/>
          <w:color w:val="1B1B1B"/>
          <w:sz w:val="25"/>
        </w:rPr>
        <w:t>4.5  P5：智能体误判并拒答</w:t>
      </w:r>
    </w:p>
    <w:p>
      <w:pPr>
        <w:spacing w:before="0" w:after="120" w:line="360" w:lineRule="auto"/>
        <w:ind w:firstLine="480"/>
      </w:pPr>
      <w:r>
        <w:rPr>
          <w:rFonts w:ascii="Times New Roman" w:hAnsi="Times New Roman" w:eastAsia="宋体"/>
          <w:b w:val="0"/>
          <w:i w:val="0"/>
          <w:color w:val="1B1B1B"/>
          <w:sz w:val="24"/>
        </w:rPr>
        <w:t>现象：上级正常派任务，但智能体偶尔判定“这跟我的职责无关”然后拒答。</w:t>
      </w:r>
    </w:p>
    <w:p>
      <w:pPr>
        <w:spacing w:before="0" w:after="120" w:line="360" w:lineRule="auto"/>
        <w:ind w:firstLine="480"/>
      </w:pPr>
      <w:r>
        <w:rPr>
          <w:rFonts w:ascii="Times New Roman" w:hAnsi="Times New Roman" w:eastAsia="宋体"/>
          <w:b w:val="0"/>
          <w:i w:val="0"/>
          <w:color w:val="1B1B1B"/>
          <w:sz w:val="24"/>
        </w:rPr>
        <w:t>定位：把实际收到的任务内容抓出来看，结构是：调用某智能体的说明 + 用户原始问题 + 上游产物摘要。判定阶段把整段文本当需求看，里头大量编排术语（协作图、上游产物、派发）干扰了相关性判断。</w:t>
      </w:r>
    </w:p>
    <w:p>
      <w:pPr>
        <w:spacing w:before="0" w:after="120" w:line="360" w:lineRule="auto"/>
        <w:ind w:firstLine="480"/>
      </w:pPr>
      <w:r>
        <w:rPr>
          <w:rFonts w:ascii="Times New Roman" w:hAnsi="Times New Roman" w:eastAsia="宋体"/>
          <w:b w:val="0"/>
          <w:i w:val="0"/>
          <w:color w:val="1B1B1B"/>
          <w:sz w:val="24"/>
        </w:rPr>
        <w:t>根因：判定阶段没有约定“只从用户需求部分判断相关性”，编排元信息把判断带偏了。</w:t>
      </w:r>
    </w:p>
    <w:p>
      <w:pPr>
        <w:spacing w:before="0" w:after="120" w:line="360" w:lineRule="auto"/>
        <w:ind w:firstLine="480"/>
      </w:pPr>
      <w:r>
        <w:rPr>
          <w:rFonts w:ascii="Times New Roman" w:hAnsi="Times New Roman" w:eastAsia="宋体"/>
          <w:b w:val="0"/>
          <w:i w:val="0"/>
          <w:color w:val="1B1B1B"/>
          <w:sz w:val="24"/>
        </w:rPr>
        <w:t>解决：把单段提示词重构成三段式契约——判定阶段默认接受、显式忽略编排类文本，只有完全没领域线索时才拒绝；抽取阶段先剥掉编排元信息再抽结构化需求，并输出一个“有没有具体问题”的布尔标记；产出阶段按这个标记分流，有具体问题就出代码加必要说明，没有就只做简短引导。</w:t>
      </w:r>
    </w:p>
    <w:p>
      <w:pPr>
        <w:spacing w:before="0" w:after="120" w:line="360" w:lineRule="auto"/>
        <w:ind w:firstLine="480"/>
      </w:pPr>
      <w:r>
        <w:rPr>
          <w:rFonts w:ascii="Times New Roman" w:hAnsi="Times New Roman" w:eastAsia="宋体"/>
          <w:b w:val="0"/>
          <w:i w:val="0"/>
          <w:color w:val="1B1B1B"/>
          <w:sz w:val="24"/>
        </w:rPr>
        <w:t>验证：同一个请求的判定稳定为接受，产出内容和用户问题对得上。</w:t>
      </w:r>
    </w:p>
    <w:p>
      <w:pPr>
        <w:spacing w:before="200" w:after="120" w:line="312" w:lineRule="auto"/>
      </w:pPr>
      <w:r>
        <w:rPr>
          <w:rFonts w:ascii="Times New Roman" w:hAnsi="Times New Roman" w:eastAsia="黑体"/>
          <w:b/>
          <w:i w:val="0"/>
          <w:color w:val="1B1B1B"/>
          <w:sz w:val="25"/>
        </w:rPr>
        <w:t>4.6  P6：用户问题缺失</w:t>
      </w:r>
    </w:p>
    <w:p>
      <w:pPr>
        <w:spacing w:before="0" w:after="120" w:line="360" w:lineRule="auto"/>
        <w:ind w:firstLine="480"/>
      </w:pPr>
      <w:r>
        <w:rPr>
          <w:rFonts w:ascii="Times New Roman" w:hAnsi="Times New Roman" w:eastAsia="宋体"/>
          <w:b w:val="0"/>
          <w:i w:val="0"/>
          <w:color w:val="1B1B1B"/>
          <w:sz w:val="24"/>
        </w:rPr>
        <w:t>现象：智能体能正常完成并给出内容，但内容和用户实际问的没关系，只是泛泛的引导语。</w:t>
      </w:r>
    </w:p>
    <w:p>
      <w:pPr>
        <w:spacing w:before="0" w:after="120" w:line="360" w:lineRule="auto"/>
        <w:ind w:firstLine="480"/>
      </w:pPr>
      <w:r>
        <w:rPr>
          <w:rFonts w:ascii="Times New Roman" w:hAnsi="Times New Roman" w:eastAsia="宋体"/>
          <w:b w:val="0"/>
          <w:i w:val="0"/>
          <w:color w:val="1B1B1B"/>
          <w:sz w:val="24"/>
        </w:rPr>
        <w:t>定位：检查收到的任务报文，发现内容里只有编排说明，没有用户原始问题。追到协作发起界面：上级在派发前会先生成一段“指令”，默认取的是技能描述文本，需要用户确认或修改之后才派发。</w:t>
      </w:r>
    </w:p>
    <w:p>
      <w:pPr>
        <w:spacing w:before="0" w:after="120" w:line="360" w:lineRule="auto"/>
        <w:ind w:firstLine="480"/>
      </w:pPr>
      <w:r>
        <w:rPr>
          <w:rFonts w:ascii="Times New Roman" w:hAnsi="Times New Roman" w:eastAsia="宋体"/>
          <w:b w:val="0"/>
          <w:i w:val="0"/>
          <w:color w:val="1B1B1B"/>
          <w:sz w:val="24"/>
        </w:rPr>
        <w:t>根因：协作确认环节的默认指令来自技能描述，不是用户原始问题；不改直接确认，任务内容里就没有用户问题。</w:t>
      </w:r>
    </w:p>
    <w:p>
      <w:pPr>
        <w:spacing w:before="0" w:after="120" w:line="360" w:lineRule="auto"/>
        <w:ind w:firstLine="480"/>
      </w:pPr>
      <w:r>
        <w:rPr>
          <w:rFonts w:ascii="Times New Roman" w:hAnsi="Times New Roman" w:eastAsia="宋体"/>
          <w:b w:val="0"/>
          <w:i w:val="0"/>
          <w:color w:val="1B1B1B"/>
          <w:sz w:val="24"/>
        </w:rPr>
        <w:t>解决：在协作确认环节把默认指令换成用户的原始问题再确认执行。这样任务报文里就带上完整需求，产出恢复正常。同时在三段式契约里强化了“从用户需求部分抽取”的约定，提高对不同报文结构的适应性。</w:t>
      </w:r>
    </w:p>
    <w:p>
      <w:pPr>
        <w:spacing w:before="0" w:after="120" w:line="360" w:lineRule="auto"/>
        <w:ind w:firstLine="480"/>
      </w:pPr>
      <w:r>
        <w:rPr>
          <w:rFonts w:ascii="Times New Roman" w:hAnsi="Times New Roman" w:eastAsia="宋体"/>
          <w:b w:val="0"/>
          <w:i w:val="0"/>
          <w:color w:val="1B1B1B"/>
          <w:sz w:val="24"/>
        </w:rPr>
        <w:t>验证：任务报文内容包含用户问题；抽取阶段正确识别出需求类型、节点类型、话题名与消息类型。</w:t>
      </w:r>
    </w:p>
    <w:p>
      <w:pPr>
        <w:spacing w:before="200" w:after="120" w:line="312" w:lineRule="auto"/>
      </w:pPr>
      <w:r>
        <w:rPr>
          <w:rFonts w:ascii="Times New Roman" w:hAnsi="Times New Roman" w:eastAsia="黑体"/>
          <w:b/>
          <w:i w:val="0"/>
          <w:color w:val="1B1B1B"/>
          <w:sz w:val="25"/>
        </w:rPr>
        <w:t>4.7  P7：长耗时任务超时</w:t>
      </w:r>
    </w:p>
    <w:p>
      <w:pPr>
        <w:spacing w:before="0" w:after="120" w:line="360" w:lineRule="auto"/>
        <w:ind w:firstLine="480"/>
      </w:pPr>
      <w:r>
        <w:rPr>
          <w:rFonts w:ascii="Times New Roman" w:hAnsi="Times New Roman" w:eastAsia="宋体"/>
          <w:b w:val="0"/>
          <w:i w:val="0"/>
          <w:color w:val="1B1B1B"/>
          <w:sz w:val="24"/>
        </w:rPr>
        <w:t>现象：任务长时间停在执行中，最后失败。日志显示两次产出调用的起始时间间隔恰好等于一个固定值，说明客户端超时后做了重试。</w:t>
      </w:r>
    </w:p>
    <w:p>
      <w:pPr>
        <w:spacing w:before="0" w:after="120" w:line="360" w:lineRule="auto"/>
        <w:ind w:firstLine="480"/>
      </w:pPr>
      <w:r>
        <w:rPr>
          <w:rFonts w:ascii="Times New Roman" w:hAnsi="Times New Roman" w:eastAsia="宋体"/>
          <w:b w:val="0"/>
          <w:i w:val="0"/>
          <w:color w:val="1B1B1B"/>
          <w:sz w:val="24"/>
        </w:rPr>
        <w:t>定位：量一下工作流单次调用的实际耗时，发现远大于适配层客户端配的超时阈值。超时之后客户端按默认策略重试，同一个任务被重复调用，既浪费算力也掩盖了真实原因。</w:t>
      </w:r>
    </w:p>
    <w:p>
      <w:pPr>
        <w:spacing w:before="0" w:after="120" w:line="360" w:lineRule="auto"/>
        <w:ind w:firstLine="480"/>
      </w:pPr>
      <w:r>
        <w:rPr>
          <w:rFonts w:ascii="Times New Roman" w:hAnsi="Times New Roman" w:eastAsia="宋体"/>
          <w:b w:val="0"/>
          <w:i w:val="0"/>
          <w:color w:val="1B1B1B"/>
          <w:sz w:val="24"/>
        </w:rPr>
        <w:t>根因：客户端超时阈值和后端实际处理时长不匹配，而且超时被当成可重试错误。</w:t>
      </w:r>
    </w:p>
    <w:p>
      <w:pPr>
        <w:spacing w:before="0" w:after="120" w:line="360" w:lineRule="auto"/>
        <w:ind w:firstLine="480"/>
      </w:pPr>
      <w:r>
        <w:rPr>
          <w:rFonts w:ascii="Times New Roman" w:hAnsi="Times New Roman" w:eastAsia="宋体"/>
          <w:b w:val="0"/>
          <w:i w:val="0"/>
          <w:color w:val="1B1B1B"/>
          <w:sz w:val="24"/>
        </w:rPr>
        <w:t>解决：把客户端超时阈值提到能覆盖后端耗时；同时改错误语义，超时映射成明确的“上游超时”并且不再自动重试；另外推动工作流侧精简节点、降级模型，把端到端耗时降下来。</w:t>
      </w:r>
    </w:p>
    <w:p>
      <w:pPr>
        <w:spacing w:before="0" w:after="120" w:line="360" w:lineRule="auto"/>
        <w:ind w:firstLine="480"/>
      </w:pPr>
      <w:r>
        <w:rPr>
          <w:rFonts w:ascii="Times New Roman" w:hAnsi="Times New Roman" w:eastAsia="宋体"/>
          <w:b w:val="0"/>
          <w:i w:val="0"/>
          <w:color w:val="1B1B1B"/>
          <w:sz w:val="24"/>
        </w:rPr>
        <w:t>验证：适配层直连测试返回成功，耗时稳定在阈值以内。</w:t>
      </w:r>
    </w:p>
    <w:p>
      <w:pPr>
        <w:spacing w:before="200" w:after="120" w:line="312" w:lineRule="auto"/>
      </w:pPr>
      <w:r>
        <w:rPr>
          <w:rFonts w:ascii="Times New Roman" w:hAnsi="Times New Roman" w:eastAsia="黑体"/>
          <w:b/>
          <w:i w:val="0"/>
          <w:color w:val="1B1B1B"/>
          <w:sz w:val="25"/>
        </w:rPr>
        <w:t>4.8  P8：已经注册了，却怎么也发现不了</w:t>
      </w:r>
    </w:p>
    <w:p>
      <w:pPr>
        <w:spacing w:before="0" w:after="120" w:line="360" w:lineRule="auto"/>
        <w:ind w:firstLine="480"/>
      </w:pPr>
      <w:r>
        <w:rPr>
          <w:rFonts w:ascii="Times New Roman" w:hAnsi="Times New Roman" w:eastAsia="宋体"/>
          <w:b w:val="0"/>
          <w:i w:val="0"/>
          <w:color w:val="1B1B1B"/>
          <w:sz w:val="24"/>
        </w:rPr>
        <w:t>现象：注册审核已通过（状态是已批准、已激活、可见性公开），接口从公网也调得通，但平台的检索界面一直提示“扩展检索失败，当前候选可能不完整”，候选列表里没有这个智能体。</w:t>
      </w:r>
    </w:p>
    <w:p>
      <w:pPr>
        <w:spacing w:before="0" w:after="120" w:line="360" w:lineRule="auto"/>
        <w:ind w:firstLine="480"/>
      </w:pPr>
      <w:r>
        <w:rPr>
          <w:rFonts w:ascii="Times New Roman" w:hAnsi="Times New Roman" w:eastAsia="宋体"/>
          <w:b w:val="0"/>
          <w:i w:val="0"/>
          <w:color w:val="1B1B1B"/>
          <w:sz w:val="24"/>
        </w:rPr>
        <w:t>定位：逐层排查。服务层、证书层、可达性、协议层、注册层全部正常，协议层实测多个任务都能成功产出。到发现层出现了关键分歧：语义检索能检索到本智能体而且排序靠前；结构化过滤完全检索不到；而对平台上另一个已知在线的智能体做完全相同的结构化过滤，却能正常返回。这说明问题不在检索链路本身，而在本智能体的记录状态。</w:t>
      </w:r>
    </w:p>
    <w:p>
      <w:pPr>
        <w:spacing w:before="0" w:after="120" w:line="360" w:lineRule="auto"/>
        <w:ind w:firstLine="480"/>
      </w:pPr>
      <w:r>
        <w:rPr>
          <w:rFonts w:ascii="Times New Roman" w:hAnsi="Times New Roman" w:eastAsia="宋体"/>
          <w:b w:val="0"/>
          <w:i w:val="0"/>
          <w:color w:val="1B1B1B"/>
          <w:sz w:val="24"/>
        </w:rPr>
        <w:t>再对照平台手册里关于在线状态的说明，确认发现结果里的在线状态由心跳驱动；然后检查本机日志目录，发现心跳日志文件一直在增长（说明智能体侧写入正常），但机器上没有任何日志转发进程，平台的日志通道里也从来没收到过本智能体的日志。</w:t>
      </w:r>
    </w:p>
    <w:p>
      <w:pPr>
        <w:spacing w:before="0" w:after="120" w:line="360" w:lineRule="auto"/>
        <w:ind w:firstLine="480"/>
      </w:pPr>
      <w:r>
        <w:rPr>
          <w:rFonts w:ascii="Times New Roman" w:hAnsi="Times New Roman" w:eastAsia="宋体"/>
          <w:b w:val="0"/>
          <w:i w:val="0"/>
          <w:color w:val="1B1B1B"/>
          <w:sz w:val="24"/>
        </w:rPr>
        <w:t>根因：AMP 是“智能体写本地文件 + 独立转发器投递”的两段式结构。这里只做了第一段，缺了转发器，平台就从没收到过心跳，于是按“只要在线”筛选的检索路径把本智能体排除了。平台手册里其实写过这句话：心跳一停，别人按“只要在线”去发现时就找不到你，即使业务进程还在。</w:t>
      </w:r>
    </w:p>
    <w:p>
      <w:pPr>
        <w:spacing w:before="0" w:after="120" w:line="360" w:lineRule="auto"/>
        <w:ind w:firstLine="480"/>
      </w:pPr>
      <w:r>
        <w:rPr>
          <w:rFonts w:ascii="Times New Roman" w:hAnsi="Times New Roman" w:eastAsia="宋体"/>
          <w:b w:val="0"/>
          <w:i w:val="0"/>
          <w:color w:val="1B1B1B"/>
          <w:sz w:val="24"/>
        </w:rPr>
        <w:t>解决：写了一个轻量日志转发器，尾追智能体的各类 AMP 日志文件，按文件名路由到对应主题，并给每个文件维护持久化的读取偏移量，避免重启后重复投递。转发器做成常驻服务。</w:t>
      </w:r>
    </w:p>
    <w:p>
      <w:pPr>
        <w:spacing w:before="0" w:after="120" w:line="360" w:lineRule="auto"/>
        <w:ind w:firstLine="480"/>
      </w:pPr>
      <w:r>
        <w:rPr>
          <w:rFonts w:ascii="Times New Roman" w:hAnsi="Times New Roman" w:eastAsia="宋体"/>
          <w:b w:val="0"/>
          <w:i w:val="0"/>
          <w:color w:val="1B1B1B"/>
          <w:sz w:val="24"/>
        </w:rPr>
        <w:t>验证：转发器启动后日志显示心跳、指标、访问、审计、系统五类都成功投递、失败数为零；再查平台检索，候选列表里出现了本智能体，并正确匹配到 4 项技能。</w:t>
      </w:r>
    </w:p>
    <w:p>
      <w:pPr>
        <w:spacing w:before="200" w:after="120" w:line="312" w:lineRule="auto"/>
      </w:pPr>
      <w:r>
        <w:rPr>
          <w:rFonts w:ascii="Times New Roman" w:hAnsi="Times New Roman" w:eastAsia="黑体"/>
          <w:b/>
          <w:i w:val="0"/>
          <w:color w:val="1B1B1B"/>
          <w:sz w:val="25"/>
        </w:rPr>
        <w:t>4.9  P9：并发上限导致繁忙</w:t>
      </w:r>
    </w:p>
    <w:p>
      <w:pPr>
        <w:spacing w:before="0" w:after="120" w:line="360" w:lineRule="auto"/>
        <w:ind w:firstLine="480"/>
      </w:pPr>
      <w:r>
        <w:rPr>
          <w:rFonts w:ascii="Times New Roman" w:hAnsi="Times New Roman" w:eastAsia="宋体"/>
          <w:b w:val="0"/>
          <w:i w:val="0"/>
          <w:color w:val="1B1B1B"/>
          <w:sz w:val="24"/>
        </w:rPr>
        <w:t>现象：平台派来的任务有一部分被拒绝，界面提示智能体返回“繁忙”。</w:t>
      </w:r>
    </w:p>
    <w:p>
      <w:pPr>
        <w:spacing w:before="0" w:after="120" w:line="360" w:lineRule="auto"/>
        <w:ind w:firstLine="480"/>
      </w:pPr>
      <w:r>
        <w:rPr>
          <w:rFonts w:ascii="Times New Roman" w:hAnsi="Times New Roman" w:eastAsia="宋体"/>
          <w:b w:val="0"/>
          <w:i w:val="0"/>
          <w:color w:val="1B1B1B"/>
          <w:sz w:val="24"/>
        </w:rPr>
        <w:t>定位：服务日志里能直接看到拒绝原因，带着活跃任务数和上限两个数值，两者相等。检查配置，上限设得比较小，而上级一次协作会并行派发多个子任务。另外框架只按“有没有收到收尾指令”释放槽位，被放弃的任务不会过期，活跃计数只增不减。</w:t>
      </w:r>
    </w:p>
    <w:p>
      <w:pPr>
        <w:spacing w:before="0" w:after="120" w:line="360" w:lineRule="auto"/>
        <w:ind w:firstLine="480"/>
      </w:pPr>
      <w:r>
        <w:rPr>
          <w:rFonts w:ascii="Times New Roman" w:hAnsi="Times New Roman" w:eastAsia="宋体"/>
          <w:b w:val="0"/>
          <w:i w:val="0"/>
          <w:color w:val="1B1B1B"/>
          <w:sz w:val="24"/>
        </w:rPr>
        <w:t>根因：并发上限小于单次协作的并行子任务数；框架本身又没有任何任务过期配置，历史任务长期占着槽位。</w:t>
      </w:r>
    </w:p>
    <w:p>
      <w:pPr>
        <w:spacing w:before="0" w:after="120" w:line="360" w:lineRule="auto"/>
        <w:ind w:firstLine="480"/>
      </w:pPr>
      <w:r>
        <w:rPr>
          <w:rFonts w:ascii="Times New Roman" w:hAnsi="Times New Roman" w:eastAsia="宋体"/>
          <w:b w:val="0"/>
          <w:i w:val="0"/>
          <w:color w:val="1B1B1B"/>
          <w:sz w:val="24"/>
        </w:rPr>
        <w:t>解决：把并发上限提高，覆盖单次协作的并行度并留余量；同时加一个每日定时重启，周期性清掉累积的历史任务，作为框架缺少过期机制时的兜底。</w:t>
      </w:r>
    </w:p>
    <w:p>
      <w:pPr>
        <w:spacing w:before="0" w:after="120" w:line="360" w:lineRule="auto"/>
        <w:ind w:firstLine="480"/>
      </w:pPr>
      <w:r>
        <w:rPr>
          <w:rFonts w:ascii="Times New Roman" w:hAnsi="Times New Roman" w:eastAsia="宋体"/>
          <w:b w:val="0"/>
          <w:i w:val="0"/>
          <w:color w:val="1B1B1B"/>
          <w:sz w:val="24"/>
        </w:rPr>
        <w:t>验证：调整后再跑协作，全部子任务都被接受并成功产出。</w:t>
      </w:r>
    </w:p>
    <w:p>
      <w:pPr>
        <w:spacing w:before="400" w:after="200" w:line="312" w:lineRule="auto"/>
      </w:pPr>
      <w:r>
        <w:rPr>
          <w:rFonts w:ascii="Times New Roman" w:hAnsi="Times New Roman" w:eastAsia="黑体"/>
          <w:b/>
          <w:i w:val="0"/>
          <w:color w:val="1F3D5C"/>
          <w:sz w:val="32"/>
        </w:rPr>
        <w:t>5  本章创新点</w:t>
      </w:r>
    </w:p>
    <w:p>
      <w:pPr>
        <w:spacing w:before="280" w:after="160" w:line="312" w:lineRule="auto"/>
      </w:pPr>
      <w:r>
        <w:rPr>
          <w:rFonts w:ascii="Times New Roman" w:hAnsi="Times New Roman" w:eastAsia="黑体"/>
          <w:b/>
          <w:i w:val="0"/>
          <w:color w:val="1F3D5C"/>
          <w:sz w:val="27"/>
        </w:rPr>
        <w:t>5.1  百炼生态与 ACPs 生态的零改造适配层</w:t>
      </w:r>
    </w:p>
    <w:p>
      <w:pPr>
        <w:spacing w:before="200" w:after="120" w:line="312" w:lineRule="auto"/>
      </w:pPr>
      <w:r>
        <w:rPr>
          <w:rFonts w:ascii="Times New Roman" w:hAnsi="Times New Roman" w:eastAsia="黑体"/>
          <w:b/>
          <w:i w:val="0"/>
          <w:color w:val="1B1B1B"/>
          <w:sz w:val="25"/>
        </w:rPr>
        <w:t>问题定义</w:t>
      </w:r>
    </w:p>
    <w:p>
      <w:pPr>
        <w:spacing w:before="0" w:after="120" w:line="360" w:lineRule="auto"/>
        <w:ind w:firstLine="480"/>
      </w:pPr>
      <w:r>
        <w:rPr>
          <w:rFonts w:ascii="Times New Roman" w:hAnsi="Times New Roman" w:eastAsia="宋体"/>
          <w:b w:val="0"/>
          <w:i w:val="0"/>
          <w:color w:val="1B1B1B"/>
          <w:sz w:val="24"/>
        </w:rPr>
        <w:t>智能体互联的价值在于复用。百炼平台上已经沉淀了大量可视化工作流，它们是真实投入的领域能力；而 ACPs 体系定义了一套完整的智能体契约。两者的接口语义不同——工作流只会响应“应用调用”这一种请求，而平台要求智能体实现任务协议、能力声明与可观测性规范。如果每接入一个工作流都要重写一遍它的编排逻辑，智能体互联的复用价值就被抵消了。</w:t>
      </w:r>
    </w:p>
    <w:p>
      <w:pPr>
        <w:spacing w:before="200" w:after="120" w:line="312" w:lineRule="auto"/>
      </w:pPr>
      <w:r>
        <w:rPr>
          <w:rFonts w:ascii="Times New Roman" w:hAnsi="Times New Roman" w:eastAsia="黑体"/>
          <w:b/>
          <w:i w:val="0"/>
          <w:color w:val="1B1B1B"/>
          <w:sz w:val="25"/>
        </w:rPr>
        <w:t>本作品的解法</w:t>
      </w:r>
    </w:p>
    <w:p>
      <w:pPr>
        <w:spacing w:before="0" w:after="120" w:line="360" w:lineRule="auto"/>
        <w:ind w:firstLine="480"/>
      </w:pPr>
      <w:r>
        <w:rPr>
          <w:rFonts w:ascii="Times New Roman" w:hAnsi="Times New Roman" w:eastAsia="宋体"/>
          <w:b w:val="0"/>
          <w:i w:val="0"/>
          <w:color w:val="1B1B1B"/>
          <w:sz w:val="24"/>
        </w:rPr>
        <w:t>在两侧之间插入一层适配器，把“平台的能力调用”翻译为“工作流的应用调用”，从而让工作流无需任何改造即可成为平台上的智能体。设计要点有四条：</w:t>
      </w:r>
    </w:p>
    <w:p>
      <w:pPr>
        <w:spacing w:before="0" w:after="100" w:line="348" w:lineRule="auto"/>
        <w:ind w:left="480" w:hanging="240"/>
      </w:pPr>
      <w:r>
        <w:rPr>
          <w:rFonts w:ascii="Times New Roman" w:hAnsi="Times New Roman" w:eastAsia="宋体"/>
          <w:b w:val="0"/>
          <w:i w:val="0"/>
          <w:color w:val="1B1B1B"/>
          <w:sz w:val="24"/>
        </w:rPr>
        <w:t>接口形态对齐：对外暴露 OpenAI 兼容的对话补全接口——这是当前智能体生态里支持最广的调用约定；对内调百炼的应用调用接口。适配器只做双向的字段映射与结果提取。</w:t>
      </w:r>
    </w:p>
    <w:p>
      <w:pPr>
        <w:spacing w:before="0" w:after="100" w:line="348" w:lineRule="auto"/>
        <w:ind w:left="480" w:hanging="240"/>
      </w:pPr>
      <w:r>
        <w:rPr>
          <w:rFonts w:ascii="Times New Roman" w:hAnsi="Times New Roman" w:eastAsia="宋体"/>
          <w:b w:val="0"/>
          <w:i w:val="0"/>
          <w:color w:val="1B1B1B"/>
          <w:sz w:val="24"/>
        </w:rPr>
        <w:t>输入字段可配置：不同工作流的输入变量名不一样。适配器把输入字段名、消息组装模式（只取最后一条用户消息／用完整会话历史）、是否复用会话做成配置项，所以同一份适配器能服务多个不同的工作流。</w:t>
      </w:r>
    </w:p>
    <w:p>
      <w:pPr>
        <w:spacing w:before="0" w:after="100" w:line="348" w:lineRule="auto"/>
        <w:ind w:left="480" w:hanging="240"/>
      </w:pPr>
      <w:r>
        <w:rPr>
          <w:rFonts w:ascii="Times New Roman" w:hAnsi="Times New Roman" w:eastAsia="宋体"/>
          <w:b w:val="0"/>
          <w:i w:val="0"/>
          <w:color w:val="1B1B1B"/>
          <w:sz w:val="24"/>
        </w:rPr>
        <w:t>错误语义映射：把上游的各种失败（超时、限流、业务错误）映射成符合 HTTP 语义的状态码和错误体，让调用方能区分“重试有用”和“重试没用”。其中上游超时映射成网关超时而不是可重试错误，避免重复消耗后端算力。</w:t>
      </w:r>
    </w:p>
    <w:p>
      <w:pPr>
        <w:spacing w:before="0" w:after="100" w:line="348" w:lineRule="auto"/>
        <w:ind w:left="480" w:hanging="240"/>
      </w:pPr>
      <w:r>
        <w:rPr>
          <w:rFonts w:ascii="Times New Roman" w:hAnsi="Times New Roman" w:eastAsia="宋体"/>
          <w:b w:val="0"/>
          <w:i w:val="0"/>
          <w:color w:val="1B1B1B"/>
          <w:sz w:val="24"/>
        </w:rPr>
        <w:t>零侵入部署：适配器是独立进程，工作流侧不用改也不用重新发布。接入出问题时直接下线适配器，工作流本身不受影响。</w:t>
      </w:r>
    </w:p>
    <w:p>
      <w:pPr>
        <w:spacing w:before="200" w:after="120" w:line="312" w:lineRule="auto"/>
      </w:pPr>
      <w:r>
        <w:rPr>
          <w:rFonts w:ascii="Times New Roman" w:hAnsi="Times New Roman" w:eastAsia="黑体"/>
          <w:b/>
          <w:i w:val="0"/>
          <w:color w:val="1B1B1B"/>
          <w:sz w:val="25"/>
        </w:rPr>
        <w:t>价值</w:t>
      </w:r>
    </w:p>
    <w:p>
      <w:pPr>
        <w:spacing w:before="0" w:after="120" w:line="360" w:lineRule="auto"/>
        <w:ind w:firstLine="480"/>
      </w:pPr>
      <w:r>
        <w:rPr>
          <w:rFonts w:ascii="Times New Roman" w:hAnsi="Times New Roman" w:eastAsia="宋体"/>
          <w:b w:val="0"/>
          <w:i w:val="0"/>
          <w:color w:val="1B1B1B"/>
          <w:sz w:val="24"/>
        </w:rPr>
        <w:t>这条路径把“接入一个智能体”的成本从“改写编排逻辑”降低到“填写一份配置”。对于本智能体而言，它使既有的领域工作流资产得以保留；对于平台生态而言，它提供了一条把其他智能体平台上的存量能力引入 ACPs 体系的通用通道——这正是“在既有架构中做增量”的含义：不改动任何一方的既有实现，只在两者之间补齐缺失的一层。</w:t>
      </w:r>
    </w:p>
    <w:p>
      <w:pPr>
        <w:spacing w:before="280" w:after="160" w:line="312" w:lineRule="auto"/>
      </w:pPr>
      <w:r>
        <w:rPr>
          <w:rFonts w:ascii="Times New Roman" w:hAnsi="Times New Roman" w:eastAsia="黑体"/>
          <w:b/>
          <w:i w:val="0"/>
          <w:color w:val="1F3D5C"/>
          <w:sz w:val="27"/>
        </w:rPr>
        <w:t>5.2  三段式提示词契约</w:t>
      </w:r>
    </w:p>
    <w:p>
      <w:pPr>
        <w:spacing w:before="0" w:after="120" w:line="360" w:lineRule="auto"/>
        <w:ind w:firstLine="480"/>
      </w:pPr>
      <w:r>
        <w:rPr>
          <w:rFonts w:ascii="Times New Roman" w:hAnsi="Times New Roman" w:eastAsia="宋体"/>
          <w:b w:val="0"/>
          <w:i w:val="0"/>
          <w:color w:val="1B1B1B"/>
          <w:sz w:val="24"/>
        </w:rPr>
        <w:t>通用框架直接拿来接领域任务会有两个毛病：一是把上级的编排说明误当成需求而拒答（P5），二是缺具体需求时会反过来问用户或给出空话（P6 的表现之一）。解决办法是把处理过程拆成三段，每段给明确的职责边界：</w:t>
      </w:r>
    </w:p>
    <w:tbl>
      <w:tblPr>
        <w:tblStyle w:val="TableGrid"/>
        <w:tblW w:type="auto" w:w="0"/>
        <w:jc w:val="center"/>
        <w:tblLook w:firstColumn="1" w:firstRow="1" w:lastColumn="0" w:lastRow="0" w:noHBand="0" w:noVBand="1" w:val="04A0"/>
      </w:tblPr>
      <w:tblGrid>
        <w:gridCol w:w="2911"/>
        <w:gridCol w:w="2911"/>
        <w:gridCol w:w="2911"/>
      </w:tblGrid>
      <w:tr>
        <w:tc>
          <w:tcPr>
            <w:tcW w:type="dxa" w:w="1134"/>
            <w:shd w:val="clear" w:color="auto" w:fill="DCE6F1"/>
          </w:tcPr>
          <w:p>
            <w:pPr>
              <w:spacing w:before="40" w:after="40" w:line="300" w:lineRule="auto"/>
            </w:pPr>
            <w:r/>
            <w:r>
              <w:rPr>
                <w:rFonts w:ascii="Times New Roman" w:hAnsi="Times New Roman" w:eastAsia="黑体"/>
                <w:b/>
                <w:i w:val="0"/>
                <w:color w:val="1F3D5C"/>
                <w:sz w:val="21"/>
              </w:rPr>
              <w:t>阶段</w:t>
            </w:r>
          </w:p>
        </w:tc>
        <w:tc>
          <w:tcPr>
            <w:tcW w:type="dxa" w:w="3061"/>
            <w:shd w:val="clear" w:color="auto" w:fill="DCE6F1"/>
          </w:tcPr>
          <w:p>
            <w:pPr>
              <w:spacing w:before="40" w:after="40" w:line="300" w:lineRule="auto"/>
            </w:pPr>
            <w:r/>
            <w:r>
              <w:rPr>
                <w:rFonts w:ascii="Times New Roman" w:hAnsi="Times New Roman" w:eastAsia="黑体"/>
                <w:b/>
                <w:i w:val="0"/>
                <w:color w:val="1F3D5C"/>
                <w:sz w:val="21"/>
              </w:rPr>
              <w:t>职责</w:t>
            </w:r>
          </w:p>
        </w:tc>
        <w:tc>
          <w:tcPr>
            <w:tcW w:type="dxa" w:w="4535"/>
            <w:shd w:val="clear" w:color="auto" w:fill="DCE6F1"/>
          </w:tcPr>
          <w:p>
            <w:pPr>
              <w:spacing w:before="40" w:after="40" w:line="300" w:lineRule="auto"/>
            </w:pPr>
            <w:r/>
            <w:r>
              <w:rPr>
                <w:rFonts w:ascii="Times New Roman" w:hAnsi="Times New Roman" w:eastAsia="黑体"/>
                <w:b/>
                <w:i w:val="0"/>
                <w:color w:val="1F3D5C"/>
                <w:sz w:val="21"/>
              </w:rPr>
              <w:t>关键约束</w:t>
            </w:r>
          </w:p>
        </w:tc>
      </w:tr>
      <w:tr>
        <w:tc>
          <w:tcPr>
            <w:tcW w:type="dxa" w:w="1134"/>
          </w:tcPr>
          <w:p>
            <w:pPr>
              <w:spacing w:before="40" w:after="40" w:line="300" w:lineRule="auto"/>
            </w:pPr>
            <w:r/>
            <w:r>
              <w:rPr>
                <w:rFonts w:ascii="Times New Roman" w:hAnsi="Times New Roman" w:eastAsia="宋体"/>
                <w:b w:val="0"/>
                <w:i w:val="0"/>
                <w:color w:val="1B1B1B"/>
                <w:sz w:val="21"/>
              </w:rPr>
              <w:t>判定</w:t>
            </w:r>
          </w:p>
        </w:tc>
        <w:tc>
          <w:tcPr>
            <w:tcW w:type="dxa" w:w="3061"/>
          </w:tcPr>
          <w:p>
            <w:pPr>
              <w:spacing w:before="40" w:after="40" w:line="300" w:lineRule="auto"/>
            </w:pPr>
            <w:r/>
            <w:r>
              <w:rPr>
                <w:rFonts w:ascii="Times New Roman" w:hAnsi="Times New Roman" w:eastAsia="宋体"/>
                <w:b w:val="0"/>
                <w:i w:val="0"/>
                <w:color w:val="1B1B1B"/>
                <w:sz w:val="21"/>
              </w:rPr>
              <w:t>判断这条请求是否属于本智能体职责范围</w:t>
            </w:r>
          </w:p>
        </w:tc>
        <w:tc>
          <w:tcPr>
            <w:tcW w:type="dxa" w:w="4535"/>
          </w:tcPr>
          <w:p>
            <w:pPr>
              <w:spacing w:before="40" w:after="40" w:line="300" w:lineRule="auto"/>
            </w:pPr>
            <w:r/>
            <w:r>
              <w:rPr>
                <w:rFonts w:ascii="Times New Roman" w:hAnsi="Times New Roman" w:eastAsia="宋体"/>
                <w:b w:val="0"/>
                <w:i w:val="0"/>
                <w:color w:val="1B1B1B"/>
                <w:sz w:val="21"/>
              </w:rPr>
              <w:t>默认接受；显式忽略编排类文本；只有完全无领域线索时才拒绝</w:t>
            </w:r>
          </w:p>
        </w:tc>
      </w:tr>
      <w:tr>
        <w:tc>
          <w:tcPr>
            <w:tcW w:type="dxa" w:w="1134"/>
          </w:tcPr>
          <w:p>
            <w:pPr>
              <w:spacing w:before="40" w:after="40" w:line="300" w:lineRule="auto"/>
            </w:pPr>
            <w:r/>
            <w:r>
              <w:rPr>
                <w:rFonts w:ascii="Times New Roman" w:hAnsi="Times New Roman" w:eastAsia="宋体"/>
                <w:b w:val="0"/>
                <w:i w:val="0"/>
                <w:color w:val="1B1B1B"/>
                <w:sz w:val="21"/>
              </w:rPr>
              <w:t>抽取</w:t>
            </w:r>
          </w:p>
        </w:tc>
        <w:tc>
          <w:tcPr>
            <w:tcW w:type="dxa" w:w="3061"/>
          </w:tcPr>
          <w:p>
            <w:pPr>
              <w:spacing w:before="40" w:after="40" w:line="300" w:lineRule="auto"/>
            </w:pPr>
            <w:r/>
            <w:r>
              <w:rPr>
                <w:rFonts w:ascii="Times New Roman" w:hAnsi="Times New Roman" w:eastAsia="宋体"/>
                <w:b w:val="0"/>
                <w:i w:val="0"/>
                <w:color w:val="1B1B1B"/>
                <w:sz w:val="21"/>
              </w:rPr>
              <w:t>从自然语言中提取结构化需求</w:t>
            </w:r>
          </w:p>
        </w:tc>
        <w:tc>
          <w:tcPr>
            <w:tcW w:type="dxa" w:w="4535"/>
          </w:tcPr>
          <w:p>
            <w:pPr>
              <w:spacing w:before="40" w:after="40" w:line="300" w:lineRule="auto"/>
            </w:pPr>
            <w:r/>
            <w:r>
              <w:rPr>
                <w:rFonts w:ascii="Times New Roman" w:hAnsi="Times New Roman" w:eastAsia="宋体"/>
                <w:b w:val="0"/>
                <w:i w:val="0"/>
                <w:color w:val="1B1B1B"/>
                <w:sz w:val="21"/>
              </w:rPr>
              <w:t>先剥离编排元信息；输出需求类型、节点类型、话题名、消息类型，以及“是否存在具体问题”的布尔标记</w:t>
            </w:r>
          </w:p>
        </w:tc>
      </w:tr>
      <w:tr>
        <w:tc>
          <w:tcPr>
            <w:tcW w:type="dxa" w:w="1134"/>
          </w:tcPr>
          <w:p>
            <w:pPr>
              <w:spacing w:before="40" w:after="40" w:line="300" w:lineRule="auto"/>
            </w:pPr>
            <w:r/>
            <w:r>
              <w:rPr>
                <w:rFonts w:ascii="Times New Roman" w:hAnsi="Times New Roman" w:eastAsia="宋体"/>
                <w:b w:val="0"/>
                <w:i w:val="0"/>
                <w:color w:val="1B1B1B"/>
                <w:sz w:val="21"/>
              </w:rPr>
              <w:t>产出</w:t>
            </w:r>
          </w:p>
        </w:tc>
        <w:tc>
          <w:tcPr>
            <w:tcW w:type="dxa" w:w="3061"/>
          </w:tcPr>
          <w:p>
            <w:pPr>
              <w:spacing w:before="40" w:after="40" w:line="300" w:lineRule="auto"/>
            </w:pPr>
            <w:r/>
            <w:r>
              <w:rPr>
                <w:rFonts w:ascii="Times New Roman" w:hAnsi="Times New Roman" w:eastAsia="宋体"/>
                <w:b w:val="0"/>
                <w:i w:val="0"/>
                <w:color w:val="1B1B1B"/>
                <w:sz w:val="21"/>
              </w:rPr>
              <w:t>生成最终结果</w:t>
            </w:r>
          </w:p>
        </w:tc>
        <w:tc>
          <w:tcPr>
            <w:tcW w:type="dxa" w:w="4535"/>
          </w:tcPr>
          <w:p>
            <w:pPr>
              <w:spacing w:before="40" w:after="40" w:line="300" w:lineRule="auto"/>
            </w:pPr>
            <w:r/>
            <w:r>
              <w:rPr>
                <w:rFonts w:ascii="Times New Roman" w:hAnsi="Times New Roman" w:eastAsia="宋体"/>
                <w:b w:val="0"/>
                <w:i w:val="0"/>
                <w:color w:val="1B1B1B"/>
                <w:sz w:val="21"/>
              </w:rPr>
              <w:t>有具体问题：产出代码 + 不超过五行说明；无具体问题：只做简短引导，不反问、不长篇铺陈</w:t>
            </w:r>
          </w:p>
        </w:tc>
      </w:tr>
    </w:tbl>
    <w:p>
      <w:pPr>
        <w:spacing w:after="40"/>
      </w:pPr>
    </w:p>
    <w:p>
      <w:pPr>
        <w:spacing w:before="80" w:after="80"/>
        <w:jc w:val="center"/>
      </w:pPr>
      <w:r>
        <w:rPr>
          <w:rFonts w:ascii="Times New Roman" w:hAnsi="Times New Roman" w:eastAsia="黑体"/>
          <w:b w:val="0"/>
          <w:i w:val="0"/>
          <w:color w:val="606A74"/>
          <w:sz w:val="21"/>
        </w:rPr>
        <w:t>表 5-1  三段式提示词契约</w:t>
      </w:r>
    </w:p>
    <w:p>
      <w:pPr>
        <w:spacing w:before="280" w:after="160" w:line="312" w:lineRule="auto"/>
      </w:pPr>
      <w:r>
        <w:rPr>
          <w:rFonts w:ascii="Times New Roman" w:hAnsi="Times New Roman" w:eastAsia="黑体"/>
          <w:b/>
          <w:i w:val="0"/>
          <w:color w:val="1F3D5C"/>
          <w:sz w:val="27"/>
        </w:rPr>
        <w:t>5.3  与评分要求的对应</w:t>
      </w:r>
    </w:p>
    <w:p>
      <w:pPr>
        <w:spacing w:before="0" w:after="120" w:line="360" w:lineRule="auto"/>
        <w:ind w:firstLine="480"/>
      </w:pPr>
      <w:r>
        <w:rPr>
          <w:rFonts w:ascii="Times New Roman" w:hAnsi="Times New Roman" w:eastAsia="宋体"/>
          <w:b w:val="0"/>
          <w:i w:val="0"/>
          <w:color w:val="1B1B1B"/>
          <w:sz w:val="24"/>
        </w:rPr>
        <w:t>本章的工作与赛事评分中“创新性”一项的对应关系如下：</w:t>
      </w:r>
    </w:p>
    <w:tbl>
      <w:tblPr>
        <w:tblStyle w:val="TableGrid"/>
        <w:tblW w:type="auto" w:w="0"/>
        <w:jc w:val="center"/>
        <w:tblLook w:firstColumn="1" w:firstRow="1" w:lastColumn="0" w:lastRow="0" w:noHBand="0" w:noVBand="1" w:val="04A0"/>
      </w:tblPr>
      <w:tblGrid>
        <w:gridCol w:w="4366"/>
        <w:gridCol w:w="4366"/>
      </w:tblGrid>
      <w:tr>
        <w:tc>
          <w:tcPr>
            <w:tcW w:type="dxa" w:w="1814"/>
            <w:shd w:val="clear" w:color="auto" w:fill="DCE6F1"/>
          </w:tcPr>
          <w:p>
            <w:pPr>
              <w:spacing w:before="40" w:after="40" w:line="300" w:lineRule="auto"/>
            </w:pPr>
            <w:r/>
            <w:r>
              <w:rPr>
                <w:rFonts w:ascii="Times New Roman" w:hAnsi="Times New Roman" w:eastAsia="黑体"/>
                <w:b/>
                <w:i w:val="0"/>
                <w:color w:val="1F3D5C"/>
                <w:sz w:val="21"/>
              </w:rPr>
              <w:t>评分要求</w:t>
            </w:r>
          </w:p>
        </w:tc>
        <w:tc>
          <w:tcPr>
            <w:tcW w:type="dxa" w:w="6350"/>
            <w:shd w:val="clear" w:color="auto" w:fill="DCE6F1"/>
          </w:tcPr>
          <w:p>
            <w:pPr>
              <w:spacing w:before="40" w:after="40" w:line="300" w:lineRule="auto"/>
            </w:pPr>
            <w:r/>
            <w:r>
              <w:rPr>
                <w:rFonts w:ascii="Times New Roman" w:hAnsi="Times New Roman" w:eastAsia="黑体"/>
                <w:b/>
                <w:i w:val="0"/>
                <w:color w:val="1F3D5C"/>
                <w:sz w:val="21"/>
              </w:rPr>
              <w:t>本作品的支撑证据</w:t>
            </w:r>
          </w:p>
        </w:tc>
      </w:tr>
      <w:tr>
        <w:tc>
          <w:tcPr>
            <w:tcW w:type="dxa" w:w="1814"/>
          </w:tcPr>
          <w:p>
            <w:pPr>
              <w:spacing w:before="40" w:after="40" w:line="300" w:lineRule="auto"/>
            </w:pPr>
            <w:r/>
            <w:r>
              <w:rPr>
                <w:rFonts w:ascii="Times New Roman" w:hAnsi="Times New Roman" w:eastAsia="宋体"/>
                <w:b w:val="0"/>
                <w:i w:val="0"/>
                <w:color w:val="1B1B1B"/>
                <w:sz w:val="21"/>
              </w:rPr>
              <w:t>深度二次开发</w:t>
            </w:r>
          </w:p>
        </w:tc>
        <w:tc>
          <w:tcPr>
            <w:tcW w:type="dxa" w:w="6350"/>
          </w:tcPr>
          <w:p>
            <w:pPr>
              <w:spacing w:before="40" w:after="40" w:line="300" w:lineRule="auto"/>
            </w:pPr>
            <w:r/>
            <w:r>
              <w:rPr>
                <w:rFonts w:ascii="Times New Roman" w:hAnsi="Times New Roman" w:eastAsia="宋体"/>
                <w:b w:val="0"/>
                <w:i w:val="0"/>
                <w:color w:val="1B1B1B"/>
                <w:sz w:val="21"/>
              </w:rPr>
              <w:t>自研适配层（双向字段映射、可配置输入、错误语义映射）；自研 AMP 转发器（按主题路由、偏移量持久化）；三段式提示词契约；并发与任务生命周期治理</w:t>
            </w:r>
          </w:p>
        </w:tc>
      </w:tr>
      <w:tr>
        <w:tc>
          <w:tcPr>
            <w:tcW w:type="dxa" w:w="1814"/>
          </w:tcPr>
          <w:p>
            <w:pPr>
              <w:spacing w:before="40" w:after="40" w:line="300" w:lineRule="auto"/>
            </w:pPr>
            <w:r/>
            <w:r>
              <w:rPr>
                <w:rFonts w:ascii="Times New Roman" w:hAnsi="Times New Roman" w:eastAsia="宋体"/>
                <w:b w:val="0"/>
                <w:i w:val="0"/>
                <w:color w:val="1B1B1B"/>
                <w:sz w:val="21"/>
              </w:rPr>
              <w:t>适配 AIP 国标</w:t>
            </w:r>
          </w:p>
        </w:tc>
        <w:tc>
          <w:tcPr>
            <w:tcW w:type="dxa" w:w="6350"/>
          </w:tcPr>
          <w:p>
            <w:pPr>
              <w:spacing w:before="40" w:after="40" w:line="300" w:lineRule="auto"/>
            </w:pPr>
            <w:r/>
            <w:r>
              <w:rPr>
                <w:rFonts w:ascii="Times New Roman" w:hAnsi="Times New Roman" w:eastAsia="宋体"/>
                <w:b w:val="0"/>
                <w:i w:val="0"/>
                <w:color w:val="1B1B1B"/>
                <w:sz w:val="21"/>
              </w:rPr>
              <w:t>ACS 能力声明通过平台审核；AIP 任务协议完整实现状态机；AMP 六类日志按规范输出；mTLS 双向认证与身份绑定全部通过</w:t>
            </w:r>
          </w:p>
        </w:tc>
      </w:tr>
      <w:tr>
        <w:tc>
          <w:tcPr>
            <w:tcW w:type="dxa" w:w="1814"/>
          </w:tcPr>
          <w:p>
            <w:pPr>
              <w:spacing w:before="40" w:after="40" w:line="300" w:lineRule="auto"/>
            </w:pPr>
            <w:r/>
            <w:r>
              <w:rPr>
                <w:rFonts w:ascii="Times New Roman" w:hAnsi="Times New Roman" w:eastAsia="宋体"/>
                <w:b w:val="0"/>
                <w:i w:val="0"/>
                <w:color w:val="1B1B1B"/>
                <w:sz w:val="21"/>
              </w:rPr>
              <w:t>具备行业突破性</w:t>
            </w:r>
          </w:p>
        </w:tc>
        <w:tc>
          <w:tcPr>
            <w:tcW w:type="dxa" w:w="6350"/>
          </w:tcPr>
          <w:p>
            <w:pPr>
              <w:spacing w:before="40" w:after="40" w:line="300" w:lineRule="auto"/>
            </w:pPr>
            <w:r/>
            <w:r>
              <w:rPr>
                <w:rFonts w:ascii="Times New Roman" w:hAnsi="Times New Roman" w:eastAsia="宋体"/>
                <w:b w:val="0"/>
                <w:i w:val="0"/>
                <w:color w:val="1B1B1B"/>
                <w:sz w:val="21"/>
              </w:rPr>
              <w:t>面向智能制造的工业机器人（ROS 2）开发能力培养，把工程实践指导沉淀为可被编排调用的智能体服务；解决的是该行业中“隐性工程经验难以规模化传递”的真实约束，而非通用对话演示</w:t>
            </w:r>
          </w:p>
        </w:tc>
      </w:tr>
    </w:tbl>
    <w:p>
      <w:pPr>
        <w:spacing w:after="40"/>
      </w:pPr>
    </w:p>
    <w:p>
      <w:pPr>
        <w:spacing w:before="80" w:after="80"/>
        <w:jc w:val="center"/>
      </w:pPr>
      <w:r>
        <w:rPr>
          <w:rFonts w:ascii="Times New Roman" w:hAnsi="Times New Roman" w:eastAsia="黑体"/>
          <w:b w:val="0"/>
          <w:i w:val="0"/>
          <w:color w:val="606A74"/>
          <w:sz w:val="21"/>
        </w:rPr>
        <w:t>表 5-2  本章工作与评分要求的对应关系</w:t>
      </w:r>
    </w:p>
    <w:p>
      <w:pPr>
        <w:spacing w:before="400" w:after="200" w:line="312" w:lineRule="auto"/>
      </w:pPr>
      <w:r>
        <w:rPr>
          <w:rFonts w:ascii="Times New Roman" w:hAnsi="Times New Roman" w:eastAsia="黑体"/>
          <w:b/>
          <w:i w:val="0"/>
          <w:color w:val="1F3D5C"/>
          <w:sz w:val="32"/>
        </w:rPr>
        <w:t>6  验证与测试</w:t>
      </w:r>
    </w:p>
    <w:p>
      <w:pPr>
        <w:spacing w:before="280" w:after="160" w:line="312" w:lineRule="auto"/>
      </w:pPr>
      <w:r>
        <w:rPr>
          <w:rFonts w:ascii="Times New Roman" w:hAnsi="Times New Roman" w:eastAsia="黑体"/>
          <w:b/>
          <w:i w:val="0"/>
          <w:color w:val="1F3D5C"/>
          <w:sz w:val="27"/>
        </w:rPr>
        <w:t>6.1  分层自检</w:t>
      </w:r>
    </w:p>
    <w:p>
      <w:pPr>
        <w:spacing w:before="0" w:after="120" w:line="360" w:lineRule="auto"/>
        <w:ind w:firstLine="480"/>
      </w:pPr>
      <w:r>
        <w:rPr>
          <w:rFonts w:ascii="Times New Roman" w:hAnsi="Times New Roman" w:eastAsia="宋体"/>
          <w:b w:val="0"/>
          <w:i w:val="0"/>
          <w:color w:val="1B1B1B"/>
          <w:sz w:val="24"/>
        </w:rPr>
        <w:t>为了好定位问题，写了一个分层自检工具，按层次逐项检查，并且拿一个已知正常的智能体做对照。</w:t>
      </w:r>
    </w:p>
    <w:tbl>
      <w:tblPr>
        <w:tblStyle w:val="TableGrid"/>
        <w:tblW w:type="auto" w:w="0"/>
        <w:jc w:val="center"/>
        <w:tblLook w:firstColumn="1" w:firstRow="1" w:lastColumn="0" w:lastRow="0" w:noHBand="0" w:noVBand="1" w:val="04A0"/>
      </w:tblPr>
      <w:tblGrid>
        <w:gridCol w:w="2911"/>
        <w:gridCol w:w="2911"/>
        <w:gridCol w:w="2911"/>
      </w:tblGrid>
      <w:tr>
        <w:tc>
          <w:tcPr>
            <w:tcW w:type="dxa" w:w="1247"/>
            <w:shd w:val="clear" w:color="auto" w:fill="DCE6F1"/>
          </w:tcPr>
          <w:p>
            <w:pPr>
              <w:spacing w:before="40" w:after="40" w:line="300" w:lineRule="auto"/>
            </w:pPr>
            <w:r/>
            <w:r>
              <w:rPr>
                <w:rFonts w:ascii="Times New Roman" w:hAnsi="Times New Roman" w:eastAsia="黑体"/>
                <w:b/>
                <w:i w:val="0"/>
                <w:color w:val="1F3D5C"/>
                <w:sz w:val="21"/>
              </w:rPr>
              <w:t>层</w:t>
            </w:r>
          </w:p>
        </w:tc>
        <w:tc>
          <w:tcPr>
            <w:tcW w:type="dxa" w:w="4876"/>
            <w:shd w:val="clear" w:color="auto" w:fill="DCE6F1"/>
          </w:tcPr>
          <w:p>
            <w:pPr>
              <w:spacing w:before="40" w:after="40" w:line="300" w:lineRule="auto"/>
            </w:pPr>
            <w:r/>
            <w:r>
              <w:rPr>
                <w:rFonts w:ascii="Times New Roman" w:hAnsi="Times New Roman" w:eastAsia="黑体"/>
                <w:b/>
                <w:i w:val="0"/>
                <w:color w:val="1F3D5C"/>
                <w:sz w:val="21"/>
              </w:rPr>
              <w:t>检查内容</w:t>
            </w:r>
          </w:p>
        </w:tc>
        <w:tc>
          <w:tcPr>
            <w:tcW w:type="dxa" w:w="2041"/>
            <w:shd w:val="clear" w:color="auto" w:fill="DCE6F1"/>
          </w:tcPr>
          <w:p>
            <w:pPr>
              <w:spacing w:before="40" w:after="40" w:line="300" w:lineRule="auto"/>
            </w:pPr>
            <w:r/>
            <w:r>
              <w:rPr>
                <w:rFonts w:ascii="Times New Roman" w:hAnsi="Times New Roman" w:eastAsia="黑体"/>
                <w:b/>
                <w:i w:val="0"/>
                <w:color w:val="1F3D5C"/>
                <w:sz w:val="21"/>
              </w:rPr>
              <w:t>结果</w:t>
            </w:r>
          </w:p>
        </w:tc>
      </w:tr>
      <w:tr>
        <w:tc>
          <w:tcPr>
            <w:tcW w:type="dxa" w:w="1247"/>
          </w:tcPr>
          <w:p>
            <w:pPr>
              <w:spacing w:before="40" w:after="40" w:line="300" w:lineRule="auto"/>
            </w:pPr>
            <w:r/>
            <w:r>
              <w:rPr>
                <w:rFonts w:ascii="Times New Roman" w:hAnsi="Times New Roman" w:eastAsia="宋体"/>
                <w:b w:val="0"/>
                <w:i w:val="0"/>
                <w:color w:val="1B1B1B"/>
                <w:sz w:val="21"/>
              </w:rPr>
              <w:t>服务层</w:t>
            </w:r>
          </w:p>
        </w:tc>
        <w:tc>
          <w:tcPr>
            <w:tcW w:type="dxa" w:w="4876"/>
          </w:tcPr>
          <w:p>
            <w:pPr>
              <w:spacing w:before="40" w:after="40" w:line="300" w:lineRule="auto"/>
            </w:pPr>
            <w:r/>
            <w:r>
              <w:rPr>
                <w:rFonts w:ascii="Times New Roman" w:hAnsi="Times New Roman" w:eastAsia="宋体"/>
                <w:b w:val="0"/>
                <w:i w:val="0"/>
                <w:color w:val="1B1B1B"/>
                <w:sz w:val="21"/>
              </w:rPr>
              <w:t>各服务运行状态、端口监听</w:t>
            </w:r>
          </w:p>
        </w:tc>
        <w:tc>
          <w:tcPr>
            <w:tcW w:type="dxa" w:w="2041"/>
          </w:tcPr>
          <w:p>
            <w:pPr>
              <w:spacing w:before="40" w:after="40" w:line="300" w:lineRule="auto"/>
            </w:pPr>
            <w:r/>
            <w:r>
              <w:rPr>
                <w:rFonts w:ascii="Times New Roman" w:hAnsi="Times New Roman" w:eastAsia="宋体"/>
                <w:b w:val="0"/>
                <w:i w:val="0"/>
                <w:color w:val="1B1B1B"/>
                <w:sz w:val="21"/>
              </w:rPr>
              <w:t>通过</w:t>
            </w:r>
          </w:p>
        </w:tc>
      </w:tr>
      <w:tr>
        <w:tc>
          <w:tcPr>
            <w:tcW w:type="dxa" w:w="1247"/>
          </w:tcPr>
          <w:p>
            <w:pPr>
              <w:spacing w:before="40" w:after="40" w:line="300" w:lineRule="auto"/>
            </w:pPr>
            <w:r/>
            <w:r>
              <w:rPr>
                <w:rFonts w:ascii="Times New Roman" w:hAnsi="Times New Roman" w:eastAsia="宋体"/>
                <w:b w:val="0"/>
                <w:i w:val="0"/>
                <w:color w:val="1B1B1B"/>
                <w:sz w:val="21"/>
              </w:rPr>
              <w:t>证书层</w:t>
            </w:r>
          </w:p>
        </w:tc>
        <w:tc>
          <w:tcPr>
            <w:tcW w:type="dxa" w:w="4876"/>
          </w:tcPr>
          <w:p>
            <w:pPr>
              <w:spacing w:before="40" w:after="40" w:line="300" w:lineRule="auto"/>
            </w:pPr>
            <w:r/>
            <w:r>
              <w:rPr>
                <w:rFonts w:ascii="Times New Roman" w:hAnsi="Times New Roman" w:eastAsia="宋体"/>
                <w:b w:val="0"/>
                <w:i w:val="0"/>
                <w:color w:val="1B1B1B"/>
                <w:sz w:val="21"/>
              </w:rPr>
              <w:t>证书主体名与 AIC 一致、包含公网地址标识、服务端／客户端用途正确</w:t>
            </w:r>
          </w:p>
        </w:tc>
        <w:tc>
          <w:tcPr>
            <w:tcW w:type="dxa" w:w="2041"/>
          </w:tcPr>
          <w:p>
            <w:pPr>
              <w:spacing w:before="40" w:after="40" w:line="300" w:lineRule="auto"/>
            </w:pPr>
            <w:r/>
            <w:r>
              <w:rPr>
                <w:rFonts w:ascii="Times New Roman" w:hAnsi="Times New Roman" w:eastAsia="宋体"/>
                <w:b w:val="0"/>
                <w:i w:val="0"/>
                <w:color w:val="1B1B1B"/>
                <w:sz w:val="21"/>
              </w:rPr>
              <w:t>通过</w:t>
            </w:r>
          </w:p>
        </w:tc>
      </w:tr>
      <w:tr>
        <w:tc>
          <w:tcPr>
            <w:tcW w:type="dxa" w:w="1247"/>
          </w:tcPr>
          <w:p>
            <w:pPr>
              <w:spacing w:before="40" w:after="40" w:line="300" w:lineRule="auto"/>
            </w:pPr>
            <w:r/>
            <w:r>
              <w:rPr>
                <w:rFonts w:ascii="Times New Roman" w:hAnsi="Times New Roman" w:eastAsia="宋体"/>
                <w:b w:val="0"/>
                <w:i w:val="0"/>
                <w:color w:val="1B1B1B"/>
                <w:sz w:val="21"/>
              </w:rPr>
              <w:t>可达性</w:t>
            </w:r>
          </w:p>
        </w:tc>
        <w:tc>
          <w:tcPr>
            <w:tcW w:type="dxa" w:w="4876"/>
          </w:tcPr>
          <w:p>
            <w:pPr>
              <w:spacing w:before="40" w:after="40" w:line="300" w:lineRule="auto"/>
            </w:pPr>
            <w:r/>
            <w:r>
              <w:rPr>
                <w:rFonts w:ascii="Times New Roman" w:hAnsi="Times New Roman" w:eastAsia="宋体"/>
                <w:b w:val="0"/>
                <w:i w:val="0"/>
                <w:color w:val="1B1B1B"/>
                <w:sz w:val="21"/>
              </w:rPr>
              <w:t>本机与公网的 mTLS 握手</w:t>
            </w:r>
          </w:p>
        </w:tc>
        <w:tc>
          <w:tcPr>
            <w:tcW w:type="dxa" w:w="2041"/>
          </w:tcPr>
          <w:p>
            <w:pPr>
              <w:spacing w:before="40" w:after="40" w:line="300" w:lineRule="auto"/>
            </w:pPr>
            <w:r/>
            <w:r>
              <w:rPr>
                <w:rFonts w:ascii="Times New Roman" w:hAnsi="Times New Roman" w:eastAsia="宋体"/>
                <w:b w:val="0"/>
                <w:i w:val="0"/>
                <w:color w:val="1B1B1B"/>
                <w:sz w:val="21"/>
              </w:rPr>
              <w:t>通过</w:t>
            </w:r>
          </w:p>
        </w:tc>
      </w:tr>
      <w:tr>
        <w:tc>
          <w:tcPr>
            <w:tcW w:type="dxa" w:w="1247"/>
          </w:tcPr>
          <w:p>
            <w:pPr>
              <w:spacing w:before="40" w:after="40" w:line="300" w:lineRule="auto"/>
            </w:pPr>
            <w:r/>
            <w:r>
              <w:rPr>
                <w:rFonts w:ascii="Times New Roman" w:hAnsi="Times New Roman" w:eastAsia="宋体"/>
                <w:b w:val="0"/>
                <w:i w:val="0"/>
                <w:color w:val="1B1B1B"/>
                <w:sz w:val="21"/>
              </w:rPr>
              <w:t>协议层</w:t>
            </w:r>
          </w:p>
        </w:tc>
        <w:tc>
          <w:tcPr>
            <w:tcW w:type="dxa" w:w="4876"/>
          </w:tcPr>
          <w:p>
            <w:pPr>
              <w:spacing w:before="40" w:after="40" w:line="300" w:lineRule="auto"/>
            </w:pPr>
            <w:r/>
            <w:r>
              <w:rPr>
                <w:rFonts w:ascii="Times New Roman" w:hAnsi="Times New Roman" w:eastAsia="宋体"/>
                <w:b w:val="0"/>
                <w:i w:val="0"/>
                <w:color w:val="1B1B1B"/>
                <w:sz w:val="21"/>
              </w:rPr>
              <w:t>真实派发任务并取回产物</w:t>
            </w:r>
          </w:p>
        </w:tc>
        <w:tc>
          <w:tcPr>
            <w:tcW w:type="dxa" w:w="2041"/>
          </w:tcPr>
          <w:p>
            <w:pPr>
              <w:spacing w:before="40" w:after="40" w:line="300" w:lineRule="auto"/>
            </w:pPr>
            <w:r/>
            <w:r>
              <w:rPr>
                <w:rFonts w:ascii="Times New Roman" w:hAnsi="Times New Roman" w:eastAsia="宋体"/>
                <w:b w:val="0"/>
                <w:i w:val="0"/>
                <w:color w:val="1B1B1B"/>
                <w:sz w:val="21"/>
              </w:rPr>
              <w:t>通过（多个任务全部成功产出）</w:t>
            </w:r>
          </w:p>
        </w:tc>
      </w:tr>
      <w:tr>
        <w:tc>
          <w:tcPr>
            <w:tcW w:type="dxa" w:w="1247"/>
          </w:tcPr>
          <w:p>
            <w:pPr>
              <w:spacing w:before="40" w:after="40" w:line="300" w:lineRule="auto"/>
            </w:pPr>
            <w:r/>
            <w:r>
              <w:rPr>
                <w:rFonts w:ascii="Times New Roman" w:hAnsi="Times New Roman" w:eastAsia="宋体"/>
                <w:b w:val="0"/>
                <w:i w:val="0"/>
                <w:color w:val="1B1B1B"/>
                <w:sz w:val="21"/>
              </w:rPr>
              <w:t>注册层</w:t>
            </w:r>
          </w:p>
        </w:tc>
        <w:tc>
          <w:tcPr>
            <w:tcW w:type="dxa" w:w="4876"/>
          </w:tcPr>
          <w:p>
            <w:pPr>
              <w:spacing w:before="40" w:after="40" w:line="300" w:lineRule="auto"/>
            </w:pPr>
            <w:r/>
            <w:r>
              <w:rPr>
                <w:rFonts w:ascii="Times New Roman" w:hAnsi="Times New Roman" w:eastAsia="宋体"/>
                <w:b w:val="0"/>
                <w:i w:val="0"/>
                <w:color w:val="1B1B1B"/>
                <w:sz w:val="21"/>
              </w:rPr>
              <w:t>审核状态、激活状态、可见性</w:t>
            </w:r>
          </w:p>
        </w:tc>
        <w:tc>
          <w:tcPr>
            <w:tcW w:type="dxa" w:w="2041"/>
          </w:tcPr>
          <w:p>
            <w:pPr>
              <w:spacing w:before="40" w:after="40" w:line="300" w:lineRule="auto"/>
            </w:pPr>
            <w:r/>
            <w:r>
              <w:rPr>
                <w:rFonts w:ascii="Times New Roman" w:hAnsi="Times New Roman" w:eastAsia="宋体"/>
                <w:b w:val="0"/>
                <w:i w:val="0"/>
                <w:color w:val="1B1B1B"/>
                <w:sz w:val="21"/>
              </w:rPr>
              <w:t>通过</w:t>
            </w:r>
          </w:p>
        </w:tc>
      </w:tr>
      <w:tr>
        <w:tc>
          <w:tcPr>
            <w:tcW w:type="dxa" w:w="1247"/>
          </w:tcPr>
          <w:p>
            <w:pPr>
              <w:spacing w:before="40" w:after="40" w:line="300" w:lineRule="auto"/>
            </w:pPr>
            <w:r/>
            <w:r>
              <w:rPr>
                <w:rFonts w:ascii="Times New Roman" w:hAnsi="Times New Roman" w:eastAsia="宋体"/>
                <w:b w:val="0"/>
                <w:i w:val="0"/>
                <w:color w:val="1B1B1B"/>
                <w:sz w:val="21"/>
              </w:rPr>
              <w:t>发现层</w:t>
            </w:r>
          </w:p>
        </w:tc>
        <w:tc>
          <w:tcPr>
            <w:tcW w:type="dxa" w:w="4876"/>
          </w:tcPr>
          <w:p>
            <w:pPr>
              <w:spacing w:before="40" w:after="40" w:line="300" w:lineRule="auto"/>
            </w:pPr>
            <w:r/>
            <w:r>
              <w:rPr>
                <w:rFonts w:ascii="Times New Roman" w:hAnsi="Times New Roman" w:eastAsia="宋体"/>
                <w:b w:val="0"/>
                <w:i w:val="0"/>
                <w:color w:val="1B1B1B"/>
                <w:sz w:val="21"/>
              </w:rPr>
              <w:t>语义检索、结构化过滤、与对照对象比对</w:t>
            </w:r>
          </w:p>
        </w:tc>
        <w:tc>
          <w:tcPr>
            <w:tcW w:type="dxa" w:w="2041"/>
          </w:tcPr>
          <w:p>
            <w:pPr>
              <w:spacing w:before="40" w:after="40" w:line="300" w:lineRule="auto"/>
            </w:pPr>
            <w:r/>
            <w:r>
              <w:rPr>
                <w:rFonts w:ascii="Times New Roman" w:hAnsi="Times New Roman" w:eastAsia="宋体"/>
                <w:b w:val="0"/>
                <w:i w:val="0"/>
                <w:color w:val="1B1B1B"/>
                <w:sz w:val="21"/>
              </w:rPr>
              <w:t>通过（修复后可被检索并匹配 4 项技能）</w:t>
            </w:r>
          </w:p>
        </w:tc>
      </w:tr>
      <w:tr>
        <w:tc>
          <w:tcPr>
            <w:tcW w:type="dxa" w:w="1247"/>
          </w:tcPr>
          <w:p>
            <w:pPr>
              <w:spacing w:before="40" w:after="40" w:line="300" w:lineRule="auto"/>
            </w:pPr>
            <w:r/>
            <w:r>
              <w:rPr>
                <w:rFonts w:ascii="Times New Roman" w:hAnsi="Times New Roman" w:eastAsia="宋体"/>
                <w:b w:val="0"/>
                <w:i w:val="0"/>
                <w:color w:val="1B1B1B"/>
                <w:sz w:val="21"/>
              </w:rPr>
              <w:t>可观测层</w:t>
            </w:r>
          </w:p>
        </w:tc>
        <w:tc>
          <w:tcPr>
            <w:tcW w:type="dxa" w:w="4876"/>
          </w:tcPr>
          <w:p>
            <w:pPr>
              <w:spacing w:before="40" w:after="40" w:line="300" w:lineRule="auto"/>
            </w:pPr>
            <w:r/>
            <w:r>
              <w:rPr>
                <w:rFonts w:ascii="Times New Roman" w:hAnsi="Times New Roman" w:eastAsia="宋体"/>
                <w:b w:val="0"/>
                <w:i w:val="0"/>
                <w:color w:val="1B1B1B"/>
                <w:sz w:val="21"/>
              </w:rPr>
              <w:t>转发器投递计数与失败计数</w:t>
            </w:r>
          </w:p>
        </w:tc>
        <w:tc>
          <w:tcPr>
            <w:tcW w:type="dxa" w:w="2041"/>
          </w:tcPr>
          <w:p>
            <w:pPr>
              <w:spacing w:before="40" w:after="40" w:line="300" w:lineRule="auto"/>
            </w:pPr>
            <w:r/>
            <w:r>
              <w:rPr>
                <w:rFonts w:ascii="Times New Roman" w:hAnsi="Times New Roman" w:eastAsia="宋体"/>
                <w:b w:val="0"/>
                <w:i w:val="0"/>
                <w:color w:val="1B1B1B"/>
                <w:sz w:val="21"/>
              </w:rPr>
              <w:t>通过（失败数为 0）</w:t>
            </w:r>
          </w:p>
        </w:tc>
      </w:tr>
      <w:tr>
        <w:tc>
          <w:tcPr>
            <w:tcW w:type="dxa" w:w="1247"/>
          </w:tcPr>
          <w:p>
            <w:pPr>
              <w:spacing w:before="40" w:after="40" w:line="300" w:lineRule="auto"/>
            </w:pPr>
            <w:r/>
            <w:r>
              <w:rPr>
                <w:rFonts w:ascii="Times New Roman" w:hAnsi="Times New Roman" w:eastAsia="宋体"/>
                <w:b w:val="0"/>
                <w:i w:val="0"/>
                <w:color w:val="1B1B1B"/>
                <w:sz w:val="21"/>
              </w:rPr>
              <w:t>调度层</w:t>
            </w:r>
          </w:p>
        </w:tc>
        <w:tc>
          <w:tcPr>
            <w:tcW w:type="dxa" w:w="4876"/>
          </w:tcPr>
          <w:p>
            <w:pPr>
              <w:spacing w:before="40" w:after="40" w:line="300" w:lineRule="auto"/>
            </w:pPr>
            <w:r/>
            <w:r>
              <w:rPr>
                <w:rFonts w:ascii="Times New Roman" w:hAnsi="Times New Roman" w:eastAsia="宋体"/>
                <w:b w:val="0"/>
                <w:i w:val="0"/>
                <w:color w:val="1B1B1B"/>
                <w:sz w:val="21"/>
              </w:rPr>
              <w:t>活跃任务数与并发上限</w:t>
            </w:r>
          </w:p>
        </w:tc>
        <w:tc>
          <w:tcPr>
            <w:tcW w:type="dxa" w:w="2041"/>
          </w:tcPr>
          <w:p>
            <w:pPr>
              <w:spacing w:before="40" w:after="40" w:line="300" w:lineRule="auto"/>
            </w:pPr>
            <w:r/>
            <w:r>
              <w:rPr>
                <w:rFonts w:ascii="Times New Roman" w:hAnsi="Times New Roman" w:eastAsia="宋体"/>
                <w:b w:val="0"/>
                <w:i w:val="0"/>
                <w:color w:val="1B1B1B"/>
                <w:sz w:val="21"/>
              </w:rPr>
              <w:t>通过（调整后无拒绝）</w:t>
            </w:r>
          </w:p>
        </w:tc>
      </w:tr>
    </w:tbl>
    <w:p>
      <w:pPr>
        <w:spacing w:after="40"/>
      </w:pPr>
    </w:p>
    <w:p>
      <w:pPr>
        <w:spacing w:before="80" w:after="80"/>
        <w:jc w:val="center"/>
      </w:pPr>
      <w:r>
        <w:rPr>
          <w:rFonts w:ascii="Times New Roman" w:hAnsi="Times New Roman" w:eastAsia="黑体"/>
          <w:b w:val="0"/>
          <w:i w:val="0"/>
          <w:color w:val="606A74"/>
          <w:sz w:val="21"/>
        </w:rPr>
        <w:t>表 6-1  分层自检项与结果</w:t>
      </w:r>
    </w:p>
    <w:p>
      <w:pPr>
        <w:spacing w:before="0" w:after="120" w:line="360" w:lineRule="auto"/>
        <w:ind w:firstLine="480"/>
      </w:pPr>
      <w:r>
        <w:rPr>
          <w:rFonts w:ascii="Times New Roman" w:hAnsi="Times New Roman" w:eastAsia="宋体"/>
          <w:b w:val="0"/>
          <w:i w:val="0"/>
          <w:color w:val="1B1B1B"/>
          <w:sz w:val="24"/>
        </w:rPr>
        <w:t>这里有个方法值得记一下：光凭“本智能体检索不到”没法判断是谁的问题。加一个已知正常的对照对象之后，“同一条查询路径对方能返回、本智能体不能返回”就把问题直接锁到本智能体的记录状态，而不是检索服务本身。P8 就是这么做出来的。</w:t>
      </w:r>
    </w:p>
    <w:p>
      <w:pPr>
        <w:spacing w:before="280" w:after="160" w:line="312" w:lineRule="auto"/>
      </w:pPr>
      <w:r>
        <w:rPr>
          <w:rFonts w:ascii="Times New Roman" w:hAnsi="Times New Roman" w:eastAsia="黑体"/>
          <w:b/>
          <w:i w:val="0"/>
          <w:color w:val="1F3D5C"/>
          <w:sz w:val="27"/>
        </w:rPr>
        <w:t>6.2  端到端实测</w:t>
      </w:r>
    </w:p>
    <w:p>
      <w:pPr>
        <w:spacing w:before="0" w:after="120" w:line="360" w:lineRule="auto"/>
        <w:ind w:firstLine="480"/>
      </w:pPr>
      <w:r>
        <w:rPr>
          <w:rFonts w:ascii="Times New Roman" w:hAnsi="Times New Roman" w:eastAsia="宋体"/>
          <w:b w:val="0"/>
          <w:i w:val="0"/>
          <w:color w:val="1B1B1B"/>
          <w:sz w:val="24"/>
        </w:rPr>
        <w:t>接入完成后，从平台的协作界面发起真实需求，观察全流程：</w:t>
      </w:r>
    </w:p>
    <w:p>
      <w:pPr>
        <w:spacing w:before="0" w:after="100" w:line="348" w:lineRule="auto"/>
        <w:ind w:left="480" w:hanging="240"/>
      </w:pPr>
      <w:r>
        <w:rPr>
          <w:rFonts w:ascii="Times New Roman" w:hAnsi="Times New Roman" w:eastAsia="宋体"/>
          <w:b w:val="0"/>
          <w:i w:val="0"/>
          <w:color w:val="1B1B1B"/>
          <w:sz w:val="24"/>
        </w:rPr>
        <w:t>能力匹配：平台检索到本智能体，并按用户需求匹配出 4 项技能；</w:t>
      </w:r>
    </w:p>
    <w:p>
      <w:pPr>
        <w:spacing w:before="0" w:after="100" w:line="348" w:lineRule="auto"/>
        <w:ind w:left="480" w:hanging="240"/>
      </w:pPr>
      <w:r>
        <w:rPr>
          <w:rFonts w:ascii="Times New Roman" w:hAnsi="Times New Roman" w:eastAsia="宋体"/>
          <w:b w:val="0"/>
          <w:i w:val="0"/>
          <w:color w:val="1B1B1B"/>
          <w:sz w:val="24"/>
        </w:rPr>
        <w:t>任务派发：平台并行派发多个子任务；</w:t>
      </w:r>
    </w:p>
    <w:p>
      <w:pPr>
        <w:spacing w:before="0" w:after="100" w:line="348" w:lineRule="auto"/>
        <w:ind w:left="480" w:hanging="240"/>
      </w:pPr>
      <w:r>
        <w:rPr>
          <w:rFonts w:ascii="Times New Roman" w:hAnsi="Times New Roman" w:eastAsia="宋体"/>
          <w:b w:val="0"/>
          <w:i w:val="0"/>
          <w:color w:val="1B1B1B"/>
          <w:sz w:val="24"/>
        </w:rPr>
        <w:t>执行：本智能体对每个子任务完成三段式处理，产出对应结果；</w:t>
      </w:r>
    </w:p>
    <w:p>
      <w:pPr>
        <w:spacing w:before="0" w:after="100" w:line="348" w:lineRule="auto"/>
        <w:ind w:left="480" w:hanging="240"/>
      </w:pPr>
      <w:r>
        <w:rPr>
          <w:rFonts w:ascii="Times New Roman" w:hAnsi="Times New Roman" w:eastAsia="宋体"/>
          <w:b w:val="0"/>
          <w:i w:val="0"/>
          <w:color w:val="1B1B1B"/>
          <w:sz w:val="24"/>
        </w:rPr>
        <w:t>结果回传：平台取回产物，任务状态变成“已完成产出、等待收尾”；</w:t>
      </w:r>
    </w:p>
    <w:p>
      <w:pPr>
        <w:spacing w:before="0" w:after="100" w:line="348" w:lineRule="auto"/>
        <w:ind w:left="480" w:hanging="240"/>
      </w:pPr>
      <w:r>
        <w:rPr>
          <w:rFonts w:ascii="Times New Roman" w:hAnsi="Times New Roman" w:eastAsia="宋体"/>
          <w:b w:val="0"/>
          <w:i w:val="0"/>
          <w:color w:val="1B1B1B"/>
          <w:sz w:val="24"/>
        </w:rPr>
        <w:t>汇总：协作智能体整合各子任务结果并返回用户。</w:t>
      </w:r>
    </w:p>
    <w:p>
      <w:pPr>
        <w:spacing w:before="0" w:after="120" w:line="360" w:lineRule="auto"/>
        <w:ind w:firstLine="480"/>
      </w:pPr>
      <w:r>
        <w:rPr>
          <w:rFonts w:ascii="Times New Roman" w:hAnsi="Times New Roman" w:eastAsia="宋体"/>
          <w:b w:val="0"/>
          <w:i w:val="0"/>
          <w:color w:val="1B1B1B"/>
          <w:sz w:val="24"/>
        </w:rPr>
        <w:t>实测里单个子任务从接收到产出约数秒，产出内容是符合工程规范的代码与说明。</w:t>
      </w:r>
    </w:p>
    <w:p>
      <w:pPr>
        <w:spacing w:before="400" w:after="200" w:line="312" w:lineRule="auto"/>
      </w:pPr>
      <w:r>
        <w:rPr>
          <w:rFonts w:ascii="Times New Roman" w:hAnsi="Times New Roman" w:eastAsia="黑体"/>
          <w:b/>
          <w:i w:val="0"/>
          <w:color w:val="1F3D5C"/>
          <w:sz w:val="32"/>
        </w:rPr>
        <w:t>7  参考的官方材料</w:t>
      </w:r>
    </w:p>
    <w:tbl>
      <w:tblPr>
        <w:tblStyle w:val="TableGrid"/>
        <w:tblW w:type="auto" w:w="0"/>
        <w:jc w:val="center"/>
        <w:tblLook w:firstColumn="1" w:firstRow="1" w:lastColumn="0" w:lastRow="0" w:noHBand="0" w:noVBand="1" w:val="04A0"/>
      </w:tblPr>
      <w:tblGrid>
        <w:gridCol w:w="4366"/>
        <w:gridCol w:w="4366"/>
      </w:tblGrid>
      <w:tr>
        <w:tc>
          <w:tcPr>
            <w:tcW w:type="dxa" w:w="3628"/>
            <w:shd w:val="clear" w:color="auto" w:fill="DCE6F1"/>
          </w:tcPr>
          <w:p>
            <w:pPr>
              <w:spacing w:before="40" w:after="40" w:line="300" w:lineRule="auto"/>
            </w:pPr>
            <w:r/>
            <w:r>
              <w:rPr>
                <w:rFonts w:ascii="Times New Roman" w:hAnsi="Times New Roman" w:eastAsia="黑体"/>
                <w:b/>
                <w:i w:val="0"/>
                <w:color w:val="1F3D5C"/>
                <w:sz w:val="21"/>
              </w:rPr>
              <w:t>材料</w:t>
            </w:r>
          </w:p>
        </w:tc>
        <w:tc>
          <w:tcPr>
            <w:tcW w:type="dxa" w:w="4535"/>
            <w:shd w:val="clear" w:color="auto" w:fill="DCE6F1"/>
          </w:tcPr>
          <w:p>
            <w:pPr>
              <w:spacing w:before="40" w:after="40" w:line="300" w:lineRule="auto"/>
            </w:pPr>
            <w:r/>
            <w:r>
              <w:rPr>
                <w:rFonts w:ascii="Times New Roman" w:hAnsi="Times New Roman" w:eastAsia="黑体"/>
                <w:b/>
                <w:i w:val="0"/>
                <w:color w:val="1F3D5C"/>
                <w:sz w:val="21"/>
              </w:rPr>
              <w:t>用途</w:t>
            </w:r>
          </w:p>
        </w:tc>
      </w:tr>
      <w:tr>
        <w:tc>
          <w:tcPr>
            <w:tcW w:type="dxa" w:w="3628"/>
          </w:tcPr>
          <w:p>
            <w:pPr>
              <w:spacing w:before="40" w:after="40" w:line="300" w:lineRule="auto"/>
            </w:pPr>
            <w:r/>
            <w:r>
              <w:rPr>
                <w:rFonts w:ascii="Times New Roman" w:hAnsi="Times New Roman" w:eastAsia="宋体"/>
                <w:b w:val="0"/>
                <w:i w:val="0"/>
                <w:color w:val="1B1B1B"/>
                <w:sz w:val="21"/>
              </w:rPr>
              <w:t>梧桐智能体互联平台使用指南</w:t>
            </w:r>
          </w:p>
        </w:tc>
        <w:tc>
          <w:tcPr>
            <w:tcW w:type="dxa" w:w="4535"/>
          </w:tcPr>
          <w:p>
            <w:pPr>
              <w:spacing w:before="40" w:after="40" w:line="300" w:lineRule="auto"/>
            </w:pPr>
            <w:r/>
            <w:r>
              <w:rPr>
                <w:rFonts w:ascii="Times New Roman" w:hAnsi="Times New Roman" w:eastAsia="宋体"/>
                <w:b w:val="0"/>
                <w:i w:val="0"/>
                <w:color w:val="1B1B1B"/>
                <w:sz w:val="21"/>
              </w:rPr>
              <w:t>平台组成、接入五步、三种发现方式、日志要求</w:t>
            </w:r>
          </w:p>
        </w:tc>
      </w:tr>
      <w:tr>
        <w:tc>
          <w:tcPr>
            <w:tcW w:type="dxa" w:w="3628"/>
          </w:tcPr>
          <w:p>
            <w:pPr>
              <w:spacing w:before="40" w:after="40" w:line="300" w:lineRule="auto"/>
            </w:pPr>
            <w:r/>
            <w:r>
              <w:rPr>
                <w:rFonts w:ascii="Times New Roman" w:hAnsi="Times New Roman" w:eastAsia="宋体"/>
                <w:b w:val="0"/>
                <w:i w:val="0"/>
                <w:color w:val="1B1B1B"/>
                <w:sz w:val="21"/>
              </w:rPr>
              <w:t>ACPs SDK v2.2.0 README 与 partner-demo／leader-demo 参考实现</w:t>
            </w:r>
          </w:p>
        </w:tc>
        <w:tc>
          <w:tcPr>
            <w:tcW w:type="dxa" w:w="4535"/>
          </w:tcPr>
          <w:p>
            <w:pPr>
              <w:spacing w:before="40" w:after="40" w:line="300" w:lineRule="auto"/>
            </w:pPr>
            <w:r/>
            <w:r>
              <w:rPr>
                <w:rFonts w:ascii="Times New Roman" w:hAnsi="Times New Roman" w:eastAsia="宋体"/>
                <w:b w:val="0"/>
                <w:i w:val="0"/>
                <w:color w:val="1B1B1B"/>
                <w:sz w:val="21"/>
              </w:rPr>
              <w:t>官方参考实现的结构、ACS 的撰写方式</w:t>
            </w:r>
          </w:p>
        </w:tc>
      </w:tr>
      <w:tr>
        <w:tc>
          <w:tcPr>
            <w:tcW w:type="dxa" w:w="3628"/>
          </w:tcPr>
          <w:p>
            <w:pPr>
              <w:spacing w:before="40" w:after="40" w:line="300" w:lineRule="auto"/>
            </w:pPr>
            <w:r/>
            <w:r>
              <w:rPr>
                <w:rFonts w:ascii="Times New Roman" w:hAnsi="Times New Roman" w:eastAsia="宋体"/>
                <w:b w:val="0"/>
                <w:i w:val="0"/>
                <w:color w:val="1B1B1B"/>
                <w:sz w:val="21"/>
              </w:rPr>
              <w:t>ACPs 规范集 v2.2.0（ACS／AIP／AMP／ATR／DSP）</w:t>
            </w:r>
          </w:p>
        </w:tc>
        <w:tc>
          <w:tcPr>
            <w:tcW w:type="dxa" w:w="4535"/>
          </w:tcPr>
          <w:p>
            <w:pPr>
              <w:spacing w:before="40" w:after="40" w:line="300" w:lineRule="auto"/>
            </w:pPr>
            <w:r/>
            <w:r>
              <w:rPr>
                <w:rFonts w:ascii="Times New Roman" w:hAnsi="Times New Roman" w:eastAsia="宋体"/>
                <w:b w:val="0"/>
                <w:i w:val="0"/>
                <w:color w:val="1B1B1B"/>
                <w:sz w:val="21"/>
              </w:rPr>
              <w:t>能力声明格式、任务协议与状态机、监控与日志规范、注册信任模型、发现同步机制</w:t>
            </w:r>
          </w:p>
        </w:tc>
      </w:tr>
      <w:tr>
        <w:tc>
          <w:tcPr>
            <w:tcW w:type="dxa" w:w="3628"/>
          </w:tcPr>
          <w:p>
            <w:pPr>
              <w:spacing w:before="40" w:after="40" w:line="300" w:lineRule="auto"/>
            </w:pPr>
            <w:r/>
            <w:r>
              <w:rPr>
                <w:rFonts w:ascii="Times New Roman" w:hAnsi="Times New Roman" w:eastAsia="宋体"/>
                <w:b w:val="0"/>
                <w:i w:val="0"/>
                <w:color w:val="1B1B1B"/>
                <w:sz w:val="21"/>
              </w:rPr>
              <w:t>平台 AMP 可观测性说明</w:t>
            </w:r>
          </w:p>
        </w:tc>
        <w:tc>
          <w:tcPr>
            <w:tcW w:type="dxa" w:w="4535"/>
          </w:tcPr>
          <w:p>
            <w:pPr>
              <w:spacing w:before="40" w:after="40" w:line="300" w:lineRule="auto"/>
            </w:pPr>
            <w:r/>
            <w:r>
              <w:rPr>
                <w:rFonts w:ascii="Times New Roman" w:hAnsi="Times New Roman" w:eastAsia="宋体"/>
                <w:b w:val="0"/>
                <w:i w:val="0"/>
                <w:color w:val="1B1B1B"/>
                <w:sz w:val="21"/>
              </w:rPr>
              <w:t>心跳与在线状态的关系、日志转发链路、六类日志的落盘与投递要求</w:t>
            </w:r>
          </w:p>
        </w:tc>
      </w:tr>
      <w:tr>
        <w:tc>
          <w:tcPr>
            <w:tcW w:type="dxa" w:w="3628"/>
          </w:tcPr>
          <w:p>
            <w:pPr>
              <w:spacing w:before="40" w:after="40" w:line="300" w:lineRule="auto"/>
            </w:pPr>
            <w:r/>
            <w:r>
              <w:rPr>
                <w:rFonts w:ascii="Times New Roman" w:hAnsi="Times New Roman" w:eastAsia="宋体"/>
                <w:b w:val="0"/>
                <w:i w:val="0"/>
                <w:color w:val="1B1B1B"/>
                <w:sz w:val="21"/>
              </w:rPr>
              <w:t>百炼应用调用 API 文档</w:t>
            </w:r>
          </w:p>
        </w:tc>
        <w:tc>
          <w:tcPr>
            <w:tcW w:type="dxa" w:w="4535"/>
          </w:tcPr>
          <w:p>
            <w:pPr>
              <w:spacing w:before="40" w:after="40" w:line="300" w:lineRule="auto"/>
            </w:pPr>
            <w:r/>
            <w:r>
              <w:rPr>
                <w:rFonts w:ascii="Times New Roman" w:hAnsi="Times New Roman" w:eastAsia="宋体"/>
                <w:b w:val="0"/>
                <w:i w:val="0"/>
                <w:color w:val="1B1B1B"/>
                <w:sz w:val="21"/>
              </w:rPr>
              <w:t>工作流应用调用的请求与响应格式</w:t>
            </w:r>
          </w:p>
        </w:tc>
      </w:tr>
    </w:tbl>
    <w:p>
      <w:pPr>
        <w:spacing w:after="40"/>
      </w:pPr>
    </w:p>
    <w:p>
      <w:pPr>
        <w:spacing w:before="80" w:after="80"/>
        <w:jc w:val="center"/>
      </w:pPr>
      <w:r>
        <w:rPr>
          <w:rFonts w:ascii="Times New Roman" w:hAnsi="Times New Roman" w:eastAsia="黑体"/>
          <w:b w:val="0"/>
          <w:i w:val="0"/>
          <w:color w:val="606A74"/>
          <w:sz w:val="21"/>
        </w:rPr>
        <w:t>表 7-1  参考材料</w:t>
      </w:r>
    </w:p>
    <w:p>
      <w:pPr>
        <w:spacing w:before="400" w:after="200" w:line="312" w:lineRule="auto"/>
      </w:pPr>
      <w:r>
        <w:rPr>
          <w:rFonts w:ascii="Times New Roman" w:hAnsi="Times New Roman" w:eastAsia="黑体"/>
          <w:b/>
          <w:i w:val="0"/>
          <w:color w:val="1F3D5C"/>
          <w:sz w:val="32"/>
        </w:rPr>
        <w:t>8  接下来要做的事</w:t>
      </w:r>
    </w:p>
    <w:p>
      <w:pPr>
        <w:spacing w:before="280" w:after="160" w:line="312" w:lineRule="auto"/>
      </w:pPr>
      <w:r>
        <w:rPr>
          <w:rFonts w:ascii="Times New Roman" w:hAnsi="Times New Roman" w:eastAsia="黑体"/>
          <w:b/>
          <w:i w:val="0"/>
          <w:color w:val="1F3D5C"/>
          <w:sz w:val="27"/>
        </w:rPr>
        <w:t>8.1  工作流性能优化（这块要一起改）</w:t>
      </w:r>
    </w:p>
    <w:p>
      <w:pPr>
        <w:spacing w:before="0" w:after="120" w:line="360" w:lineRule="auto"/>
        <w:ind w:firstLine="480"/>
      </w:pPr>
      <w:r>
        <w:rPr>
          <w:rFonts w:ascii="Times New Roman" w:hAnsi="Times New Roman" w:eastAsia="宋体"/>
          <w:b w:val="0"/>
          <w:i w:val="0"/>
          <w:color w:val="1B1B1B"/>
          <w:sz w:val="24"/>
        </w:rPr>
        <w:t>为什么要改：平台的协作链路里，上级发出任务之后会轮询等待结果。现在工作流单次调用耗时较长，既拖慢协作体验，也容易触发超时。目标是把单次调用压到 12 秒以内。</w:t>
      </w:r>
    </w:p>
    <w:p>
      <w:pPr>
        <w:spacing w:before="0" w:after="120" w:line="360" w:lineRule="auto"/>
        <w:ind w:firstLine="480"/>
      </w:pPr>
      <w:r>
        <w:rPr>
          <w:rFonts w:ascii="Times New Roman" w:hAnsi="Times New Roman" w:eastAsia="宋体"/>
          <w:b w:val="0"/>
          <w:i w:val="0"/>
          <w:color w:val="1B1B1B"/>
          <w:sz w:val="24"/>
        </w:rPr>
        <w:t>建议的改法，按收益从高到低：</w:t>
      </w:r>
    </w:p>
    <w:tbl>
      <w:tblPr>
        <w:tblStyle w:val="TableGrid"/>
        <w:tblW w:type="auto" w:w="0"/>
        <w:jc w:val="center"/>
        <w:tblLook w:firstColumn="1" w:firstRow="1" w:lastColumn="0" w:lastRow="0" w:noHBand="0" w:noVBand="1" w:val="04A0"/>
      </w:tblPr>
      <w:tblGrid>
        <w:gridCol w:w="2911"/>
        <w:gridCol w:w="2911"/>
        <w:gridCol w:w="2911"/>
      </w:tblGrid>
      <w:tr>
        <w:tc>
          <w:tcPr>
            <w:tcW w:type="dxa" w:w="1020"/>
            <w:shd w:val="clear" w:color="auto" w:fill="DCE6F1"/>
          </w:tcPr>
          <w:p>
            <w:pPr>
              <w:spacing w:before="40" w:after="40" w:line="300" w:lineRule="auto"/>
            </w:pPr>
            <w:r/>
            <w:r>
              <w:rPr>
                <w:rFonts w:ascii="Times New Roman" w:hAnsi="Times New Roman" w:eastAsia="黑体"/>
                <w:b/>
                <w:i w:val="0"/>
                <w:color w:val="1F3D5C"/>
                <w:sz w:val="21"/>
              </w:rPr>
              <w:t>优先级</w:t>
            </w:r>
          </w:p>
        </w:tc>
        <w:tc>
          <w:tcPr>
            <w:tcW w:type="dxa" w:w="2608"/>
            <w:shd w:val="clear" w:color="auto" w:fill="DCE6F1"/>
          </w:tcPr>
          <w:p>
            <w:pPr>
              <w:spacing w:before="40" w:after="40" w:line="300" w:lineRule="auto"/>
            </w:pPr>
            <w:r/>
            <w:r>
              <w:rPr>
                <w:rFonts w:ascii="Times New Roman" w:hAnsi="Times New Roman" w:eastAsia="黑体"/>
                <w:b/>
                <w:i w:val="0"/>
                <w:color w:val="1F3D5C"/>
                <w:sz w:val="21"/>
              </w:rPr>
              <w:t>改动</w:t>
            </w:r>
          </w:p>
        </w:tc>
        <w:tc>
          <w:tcPr>
            <w:tcW w:type="dxa" w:w="5102"/>
            <w:shd w:val="clear" w:color="auto" w:fill="DCE6F1"/>
          </w:tcPr>
          <w:p>
            <w:pPr>
              <w:spacing w:before="40" w:after="40" w:line="300" w:lineRule="auto"/>
            </w:pPr>
            <w:r/>
            <w:r>
              <w:rPr>
                <w:rFonts w:ascii="Times New Roman" w:hAnsi="Times New Roman" w:eastAsia="黑体"/>
                <w:b/>
                <w:i w:val="0"/>
                <w:color w:val="1F3D5C"/>
                <w:sz w:val="21"/>
              </w:rPr>
              <w:t>说明</w:t>
            </w:r>
          </w:p>
        </w:tc>
      </w:tr>
      <w:tr>
        <w:tc>
          <w:tcPr>
            <w:tcW w:type="dxa" w:w="1020"/>
          </w:tcPr>
          <w:p>
            <w:pPr>
              <w:spacing w:before="40" w:after="40" w:line="300" w:lineRule="auto"/>
            </w:pPr>
            <w:r/>
            <w:r>
              <w:rPr>
                <w:rFonts w:ascii="Times New Roman" w:hAnsi="Times New Roman" w:eastAsia="宋体"/>
                <w:b w:val="0"/>
                <w:i w:val="0"/>
                <w:color w:val="1B1B1B"/>
                <w:sz w:val="21"/>
              </w:rPr>
              <w:t>高</w:t>
            </w:r>
          </w:p>
        </w:tc>
        <w:tc>
          <w:tcPr>
            <w:tcW w:type="dxa" w:w="2608"/>
          </w:tcPr>
          <w:p>
            <w:pPr>
              <w:spacing w:before="40" w:after="40" w:line="300" w:lineRule="auto"/>
            </w:pPr>
            <w:r/>
            <w:r>
              <w:rPr>
                <w:rFonts w:ascii="Times New Roman" w:hAnsi="Times New Roman" w:eastAsia="宋体"/>
                <w:b w:val="0"/>
                <w:i w:val="0"/>
                <w:color w:val="1B1B1B"/>
                <w:sz w:val="21"/>
              </w:rPr>
              <w:t>去掉「代码规范检查 + 自动修正」循环</w:t>
            </w:r>
          </w:p>
        </w:tc>
        <w:tc>
          <w:tcPr>
            <w:tcW w:type="dxa" w:w="5102"/>
          </w:tcPr>
          <w:p>
            <w:pPr>
              <w:spacing w:before="40" w:after="40" w:line="300" w:lineRule="auto"/>
            </w:pPr>
            <w:r/>
            <w:r>
              <w:rPr>
                <w:rFonts w:ascii="Times New Roman" w:hAnsi="Times New Roman" w:eastAsia="宋体"/>
                <w:b w:val="0"/>
                <w:i w:val="0"/>
                <w:color w:val="1B1B1B"/>
                <w:sz w:val="21"/>
              </w:rPr>
              <w:t>这个循环最多迭代三次，是耗时的主要来源。平台这侧的调用方并不需要这层自检，规范约束可以由智能体自身的提示词承担</w:t>
            </w:r>
          </w:p>
        </w:tc>
      </w:tr>
      <w:tr>
        <w:tc>
          <w:tcPr>
            <w:tcW w:type="dxa" w:w="1020"/>
          </w:tcPr>
          <w:p>
            <w:pPr>
              <w:spacing w:before="40" w:after="40" w:line="300" w:lineRule="auto"/>
            </w:pPr>
            <w:r/>
            <w:r>
              <w:rPr>
                <w:rFonts w:ascii="Times New Roman" w:hAnsi="Times New Roman" w:eastAsia="宋体"/>
                <w:b w:val="0"/>
                <w:i w:val="0"/>
                <w:color w:val="1B1B1B"/>
                <w:sz w:val="21"/>
              </w:rPr>
              <w:t>高</w:t>
            </w:r>
          </w:p>
        </w:tc>
        <w:tc>
          <w:tcPr>
            <w:tcW w:type="dxa" w:w="2608"/>
          </w:tcPr>
          <w:p>
            <w:pPr>
              <w:spacing w:before="40" w:after="40" w:line="300" w:lineRule="auto"/>
            </w:pPr>
            <w:r/>
            <w:r>
              <w:rPr>
                <w:rFonts w:ascii="Times New Roman" w:hAnsi="Times New Roman" w:eastAsia="宋体"/>
                <w:b w:val="0"/>
                <w:i w:val="0"/>
                <w:color w:val="1B1B1B"/>
                <w:sz w:val="21"/>
              </w:rPr>
              <w:t>节点模型降级</w:t>
            </w:r>
          </w:p>
        </w:tc>
        <w:tc>
          <w:tcPr>
            <w:tcW w:type="dxa" w:w="5102"/>
          </w:tcPr>
          <w:p>
            <w:pPr>
              <w:spacing w:before="40" w:after="40" w:line="300" w:lineRule="auto"/>
            </w:pPr>
            <w:r/>
            <w:r>
              <w:rPr>
                <w:rFonts w:ascii="Times New Roman" w:hAnsi="Times New Roman" w:eastAsia="宋体"/>
                <w:b w:val="0"/>
                <w:i w:val="0"/>
                <w:color w:val="1B1B1B"/>
                <w:sz w:val="21"/>
              </w:rPr>
              <w:t>统一换成 qwen-flash / qwen-plus 级别的模型；不要用带深度思考的模式</w:t>
            </w:r>
          </w:p>
        </w:tc>
      </w:tr>
      <w:tr>
        <w:tc>
          <w:tcPr>
            <w:tcW w:type="dxa" w:w="1020"/>
          </w:tcPr>
          <w:p>
            <w:pPr>
              <w:spacing w:before="40" w:after="40" w:line="300" w:lineRule="auto"/>
            </w:pPr>
            <w:r/>
            <w:r>
              <w:rPr>
                <w:rFonts w:ascii="Times New Roman" w:hAnsi="Times New Roman" w:eastAsia="宋体"/>
                <w:b w:val="0"/>
                <w:i w:val="0"/>
                <w:color w:val="1B1B1B"/>
                <w:sz w:val="21"/>
              </w:rPr>
              <w:t>中</w:t>
            </w:r>
          </w:p>
        </w:tc>
        <w:tc>
          <w:tcPr>
            <w:tcW w:type="dxa" w:w="2608"/>
          </w:tcPr>
          <w:p>
            <w:pPr>
              <w:spacing w:before="40" w:after="40" w:line="300" w:lineRule="auto"/>
            </w:pPr>
            <w:r/>
            <w:r>
              <w:rPr>
                <w:rFonts w:ascii="Times New Roman" w:hAnsi="Times New Roman" w:eastAsia="宋体"/>
                <w:b w:val="0"/>
                <w:i w:val="0"/>
                <w:color w:val="1B1B1B"/>
                <w:sz w:val="21"/>
              </w:rPr>
              <w:t>关闭深度思考</w:t>
            </w:r>
          </w:p>
        </w:tc>
        <w:tc>
          <w:tcPr>
            <w:tcW w:type="dxa" w:w="5102"/>
          </w:tcPr>
          <w:p>
            <w:pPr>
              <w:spacing w:before="40" w:after="40" w:line="300" w:lineRule="auto"/>
            </w:pPr>
            <w:r/>
            <w:r>
              <w:rPr>
                <w:rFonts w:ascii="Times New Roman" w:hAnsi="Times New Roman" w:eastAsia="宋体"/>
                <w:b w:val="0"/>
                <w:i w:val="0"/>
                <w:color w:val="1B1B1B"/>
                <w:sz w:val="21"/>
              </w:rPr>
              <w:t>这个能力会显著增加耗时，对本场景收益有限</w:t>
            </w:r>
          </w:p>
        </w:tc>
      </w:tr>
      <w:tr>
        <w:tc>
          <w:tcPr>
            <w:tcW w:type="dxa" w:w="1020"/>
          </w:tcPr>
          <w:p>
            <w:pPr>
              <w:spacing w:before="40" w:after="40" w:line="300" w:lineRule="auto"/>
            </w:pPr>
            <w:r/>
            <w:r>
              <w:rPr>
                <w:rFonts w:ascii="Times New Roman" w:hAnsi="Times New Roman" w:eastAsia="宋体"/>
                <w:b w:val="0"/>
                <w:i w:val="0"/>
                <w:color w:val="1B1B1B"/>
                <w:sz w:val="21"/>
              </w:rPr>
              <w:t>中</w:t>
            </w:r>
          </w:p>
        </w:tc>
        <w:tc>
          <w:tcPr>
            <w:tcW w:type="dxa" w:w="2608"/>
          </w:tcPr>
          <w:p>
            <w:pPr>
              <w:spacing w:before="40" w:after="40" w:line="300" w:lineRule="auto"/>
            </w:pPr>
            <w:r/>
            <w:r>
              <w:rPr>
                <w:rFonts w:ascii="Times New Roman" w:hAnsi="Times New Roman" w:eastAsia="宋体"/>
                <w:b w:val="0"/>
                <w:i w:val="0"/>
                <w:color w:val="1B1B1B"/>
                <w:sz w:val="21"/>
              </w:rPr>
              <w:t>限制输出长度</w:t>
            </w:r>
          </w:p>
        </w:tc>
        <w:tc>
          <w:tcPr>
            <w:tcW w:type="dxa" w:w="5102"/>
          </w:tcPr>
          <w:p>
            <w:pPr>
              <w:spacing w:before="40" w:after="40" w:line="300" w:lineRule="auto"/>
            </w:pPr>
            <w:r/>
            <w:r>
              <w:rPr>
                <w:rFonts w:ascii="Times New Roman" w:hAnsi="Times New Roman" w:eastAsia="宋体"/>
                <w:b w:val="0"/>
                <w:i w:val="0"/>
                <w:color w:val="1B1B1B"/>
                <w:sz w:val="21"/>
              </w:rPr>
              <w:t>输出控制在“代码 + 不超过五行说明”，避免长篇知识铺陈</w:t>
            </w:r>
          </w:p>
        </w:tc>
      </w:tr>
      <w:tr>
        <w:tc>
          <w:tcPr>
            <w:tcW w:type="dxa" w:w="1020"/>
          </w:tcPr>
          <w:p>
            <w:pPr>
              <w:spacing w:before="40" w:after="40" w:line="300" w:lineRule="auto"/>
            </w:pPr>
            <w:r/>
            <w:r>
              <w:rPr>
                <w:rFonts w:ascii="Times New Roman" w:hAnsi="Times New Roman" w:eastAsia="宋体"/>
                <w:b w:val="0"/>
                <w:i w:val="0"/>
                <w:color w:val="1B1B1B"/>
                <w:sz w:val="21"/>
              </w:rPr>
              <w:t>低</w:t>
            </w:r>
          </w:p>
        </w:tc>
        <w:tc>
          <w:tcPr>
            <w:tcW w:type="dxa" w:w="2608"/>
          </w:tcPr>
          <w:p>
            <w:pPr>
              <w:spacing w:before="40" w:after="40" w:line="300" w:lineRule="auto"/>
            </w:pPr>
            <w:r/>
            <w:r>
              <w:rPr>
                <w:rFonts w:ascii="Times New Roman" w:hAnsi="Times New Roman" w:eastAsia="宋体"/>
                <w:b w:val="0"/>
                <w:i w:val="0"/>
                <w:color w:val="1B1B1B"/>
                <w:sz w:val="21"/>
              </w:rPr>
              <w:t>合并串行节点</w:t>
            </w:r>
          </w:p>
        </w:tc>
        <w:tc>
          <w:tcPr>
            <w:tcW w:type="dxa" w:w="5102"/>
          </w:tcPr>
          <w:p>
            <w:pPr>
              <w:spacing w:before="40" w:after="40" w:line="300" w:lineRule="auto"/>
            </w:pPr>
            <w:r/>
            <w:r>
              <w:rPr>
                <w:rFonts w:ascii="Times New Roman" w:hAnsi="Times New Roman" w:eastAsia="宋体"/>
                <w:b w:val="0"/>
                <w:i w:val="0"/>
                <w:color w:val="1B1B1B"/>
                <w:sz w:val="21"/>
              </w:rPr>
              <w:t>把能并行或能合并的节点合并，减少一次调用里的模型调用次数</w:t>
            </w:r>
          </w:p>
        </w:tc>
      </w:tr>
    </w:tbl>
    <w:p>
      <w:pPr>
        <w:spacing w:after="40"/>
      </w:pPr>
    </w:p>
    <w:p>
      <w:pPr>
        <w:spacing w:before="80" w:after="80"/>
        <w:jc w:val="center"/>
      </w:pPr>
      <w:r>
        <w:rPr>
          <w:rFonts w:ascii="Times New Roman" w:hAnsi="Times New Roman" w:eastAsia="黑体"/>
          <w:b w:val="0"/>
          <w:i w:val="0"/>
          <w:color w:val="606A74"/>
          <w:sz w:val="21"/>
        </w:rPr>
        <w:t>表 8-1  工作流改造清单</w:t>
      </w:r>
    </w:p>
    <w:p>
      <w:pPr>
        <w:spacing w:before="200" w:after="120" w:line="312" w:lineRule="auto"/>
      </w:pPr>
      <w:r>
        <w:rPr>
          <w:rFonts w:ascii="Times New Roman" w:hAnsi="Times New Roman" w:eastAsia="黑体"/>
          <w:b/>
          <w:i w:val="0"/>
          <w:color w:val="1B1B1B"/>
          <w:sz w:val="25"/>
        </w:rPr>
        <w:t>怎么自测</w:t>
      </w:r>
    </w:p>
    <w:p>
      <w:pPr>
        <w:spacing w:before="0" w:after="100" w:line="348" w:lineRule="auto"/>
        <w:ind w:left="480" w:hanging="240"/>
      </w:pPr>
      <w:r>
        <w:rPr>
          <w:rFonts w:ascii="Times New Roman" w:hAnsi="Times New Roman" w:eastAsia="宋体"/>
          <w:b w:val="0"/>
          <w:i w:val="0"/>
          <w:color w:val="1B1B1B"/>
          <w:sz w:val="24"/>
        </w:rPr>
        <w:t>在百炼控制台打开工作流 → 调试／运行，看每个节点的耗时，先定位耗时大头在哪；</w:t>
      </w:r>
    </w:p>
    <w:p>
      <w:pPr>
        <w:spacing w:before="0" w:after="100" w:line="348" w:lineRule="auto"/>
        <w:ind w:left="480" w:hanging="240"/>
      </w:pPr>
      <w:r>
        <w:rPr>
          <w:rFonts w:ascii="Times New Roman" w:hAnsi="Times New Roman" w:eastAsia="宋体"/>
          <w:b w:val="0"/>
          <w:i w:val="0"/>
          <w:color w:val="1B1B1B"/>
          <w:sz w:val="24"/>
        </w:rPr>
        <w:t>用固定输入连续调三次，记录端到端耗时；</w:t>
      </w:r>
    </w:p>
    <w:p>
      <w:pPr>
        <w:spacing w:before="0" w:after="100" w:line="348" w:lineRule="auto"/>
        <w:ind w:left="480" w:hanging="240"/>
      </w:pPr>
      <w:r>
        <w:rPr>
          <w:rFonts w:ascii="Times New Roman" w:hAnsi="Times New Roman" w:eastAsia="宋体"/>
          <w:b w:val="0"/>
          <w:i w:val="0"/>
          <w:color w:val="1B1B1B"/>
          <w:sz w:val="24"/>
        </w:rPr>
        <w:t>改完之后把节点耗时截图发出来，一起看还有没有可压的。</w:t>
      </w:r>
    </w:p>
    <w:p>
      <w:pPr>
        <w:spacing w:before="200" w:after="120" w:line="312" w:lineRule="auto"/>
      </w:pPr>
      <w:r>
        <w:rPr>
          <w:rFonts w:ascii="Times New Roman" w:hAnsi="Times New Roman" w:eastAsia="黑体"/>
          <w:b/>
          <w:i w:val="0"/>
          <w:color w:val="1B1B1B"/>
          <w:sz w:val="25"/>
        </w:rPr>
        <w:t>验收标准</w:t>
      </w:r>
    </w:p>
    <w:p>
      <w:pPr>
        <w:spacing w:before="0" w:after="120" w:line="360" w:lineRule="auto"/>
        <w:ind w:firstLine="480"/>
      </w:pPr>
      <w:r>
        <w:rPr>
          <w:rFonts w:ascii="Times New Roman" w:hAnsi="Times New Roman" w:eastAsia="宋体"/>
          <w:b w:val="0"/>
          <w:i w:val="0"/>
          <w:color w:val="1B1B1B"/>
          <w:sz w:val="24"/>
        </w:rPr>
        <w:t>单次调用不超过 12 秒。达到之后，接入层会把处理链路切回工作流本体。</w:t>
      </w:r>
    </w:p>
    <w:p>
      <w:pPr>
        <w:spacing w:before="200" w:after="120" w:line="312" w:lineRule="auto"/>
      </w:pPr>
      <w:r>
        <w:rPr>
          <w:rFonts w:ascii="Times New Roman" w:hAnsi="Times New Roman" w:eastAsia="黑体"/>
          <w:b/>
          <w:i w:val="0"/>
          <w:color w:val="1B1B1B"/>
          <w:sz w:val="25"/>
        </w:rPr>
        <w:t>现在是怎么顶着的</w:t>
      </w:r>
    </w:p>
    <w:p>
      <w:pPr>
        <w:spacing w:before="0" w:after="120" w:line="360" w:lineRule="auto"/>
        <w:ind w:firstLine="480"/>
      </w:pPr>
      <w:r>
        <w:rPr>
          <w:rFonts w:ascii="Times New Roman" w:hAnsi="Times New Roman" w:eastAsia="宋体"/>
          <w:b w:val="0"/>
          <w:i w:val="0"/>
          <w:color w:val="1B1B1B"/>
          <w:sz w:val="24"/>
        </w:rPr>
        <w:t>优化完成之前，接入层临时把产出阶段指向了一个更快的模型路径，保证协作可用；切换点就在接入层的配置里，改一行配置加一次重启就能换回工作流。</w:t>
      </w:r>
    </w:p>
    <w:p>
      <w:pPr>
        <w:spacing w:before="280" w:after="160" w:line="312" w:lineRule="auto"/>
      </w:pPr>
      <w:r>
        <w:rPr>
          <w:rFonts w:ascii="Times New Roman" w:hAnsi="Times New Roman" w:eastAsia="黑体"/>
          <w:b/>
          <w:i w:val="0"/>
          <w:color w:val="1F3D5C"/>
          <w:sz w:val="27"/>
        </w:rPr>
        <w:t>8.2  其它后续项</w:t>
      </w:r>
    </w:p>
    <w:p>
      <w:pPr>
        <w:spacing w:before="0" w:after="100" w:line="348" w:lineRule="auto"/>
        <w:ind w:left="480" w:hanging="240"/>
      </w:pPr>
      <w:r>
        <w:rPr>
          <w:rFonts w:ascii="Times New Roman" w:hAnsi="Times New Roman" w:eastAsia="宋体"/>
          <w:b w:val="0"/>
          <w:i w:val="0"/>
          <w:color w:val="1B1B1B"/>
          <w:sz w:val="24"/>
        </w:rPr>
        <w:t>扩充技能覆盖范围（订阅者、服务、参数、launch 等），提高需求匹配的召回率；</w:t>
      </w:r>
    </w:p>
    <w:p>
      <w:pPr>
        <w:spacing w:before="0" w:after="100" w:line="348" w:lineRule="auto"/>
        <w:ind w:left="480" w:hanging="240"/>
      </w:pPr>
      <w:r>
        <w:rPr>
          <w:rFonts w:ascii="Times New Roman" w:hAnsi="Times New Roman" w:eastAsia="宋体"/>
          <w:b w:val="0"/>
          <w:i w:val="0"/>
          <w:color w:val="1B1B1B"/>
          <w:sz w:val="24"/>
        </w:rPr>
        <w:t>给产物加自动质量评估，形成可度量的产出质量指标；</w:t>
      </w:r>
    </w:p>
    <w:p>
      <w:pPr>
        <w:spacing w:before="0" w:after="100" w:line="348" w:lineRule="auto"/>
        <w:ind w:left="480" w:hanging="240"/>
      </w:pPr>
      <w:r>
        <w:rPr>
          <w:rFonts w:ascii="Times New Roman" w:hAnsi="Times New Roman" w:eastAsia="宋体"/>
          <w:b w:val="0"/>
          <w:i w:val="0"/>
          <w:color w:val="1B1B1B"/>
          <w:sz w:val="24"/>
        </w:rPr>
        <w:t>探索多智能体协作下的角色划分，让本智能体在复杂项目里承担更细的职责。</w:t>
      </w:r>
    </w:p>
    <w:sectPr w:rsidR="00FC693F" w:rsidRPr="0006063C" w:rsidSect="00034616">
      <w:footerReference w:type="default" r:id="rId9"/>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1B1B1B"/>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