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Analytics Project — Summary</w:t>
      </w:r>
    </w:p>
    <w:p>
      <w:r>
        <w:t>This document summarizes the sales analytics work delivered for this project: the source data, the analysis and its conclusions, and the deliverables built for management (a static report, a live dashboard, and a board-level slide deck).</w:t>
      </w:r>
    </w:p>
    <w:p>
      <w:pPr>
        <w:pStyle w:val="Heading1"/>
      </w:pPr>
      <w:r>
        <w:t>1. Data Source</w:t>
      </w:r>
    </w:p>
    <w:p>
      <w:r>
        <w:t>All analysis is based on data/orders.csv — 4,644 order line items covering 2024-07 to 2025-06, 6 product categories, 60 products, and 1,093 unique customers.</w:t>
      </w:r>
    </w:p>
    <w:p>
      <w:pPr>
        <w:pStyle w:val="ListBullet"/>
      </w:pPr>
      <w:r>
        <w:t>Columns: order_id, order_date, customer_id, product_id, product_name, category, quantity, unit_price</w:t>
      </w:r>
    </w:p>
    <w:p>
      <w:pPr>
        <w:pStyle w:val="ListBullet"/>
      </w:pPr>
      <w:r>
        <w:t>Revenue is calculated as quantity × unit_price (gross revenue)</w:t>
      </w:r>
    </w:p>
    <w:p>
      <w:pPr>
        <w:pStyle w:val="ListBullet"/>
      </w:pPr>
      <w:r>
        <w:t>No discount, return, or refund columns are present — figures are not net of returns</w:t>
      </w:r>
    </w:p>
    <w:p>
      <w:pPr>
        <w:pStyle w:val="ListBullet"/>
      </w:pPr>
      <w:r>
        <w:t>This is a one-time snapshot; there is no recurring data refresh planned</w:t>
      </w:r>
    </w:p>
    <w:p>
      <w:pPr>
        <w:pStyle w:val="Heading1"/>
      </w:pPr>
      <w:r>
        <w:t>2. Key Findings</w:t>
      </w:r>
    </w:p>
    <w:p>
      <w:pPr>
        <w:pStyle w:val="ListBullet"/>
      </w:pPr>
      <w:r>
        <w:t>Total revenue: $822,037.04 across 4,614 orders</w:t>
      </w:r>
    </w:p>
    <w:p>
      <w:pPr>
        <w:pStyle w:val="ListBullet"/>
      </w:pPr>
      <w:r>
        <w:t>Average order value: $178.16, stable within a narrow band all year</w:t>
      </w:r>
    </w:p>
    <w:p>
      <w:pPr>
        <w:pStyle w:val="ListBullet"/>
      </w:pPr>
      <w:r>
        <w:t>Best month: 2024-12 with $97,138.60 in revenue (560 orders)</w:t>
      </w:r>
    </w:p>
    <w:p>
      <w:pPr>
        <w:pStyle w:val="ListBullet"/>
      </w:pPr>
      <w:r>
        <w:t>December's peak is driven by order volume, not by customers spending more per order (holiday seasonality, not a pricing effect)</w:t>
      </w:r>
    </w:p>
    <w:p>
      <w:pPr>
        <w:pStyle w:val="ListBullet"/>
      </w:pPr>
      <w:r>
        <w:t>January shows the only double-digit month-over-month revenue decline, followed by a steady five-month recovery</w:t>
      </w:r>
    </w:p>
    <w:p>
      <w:pPr>
        <w:pStyle w:val="ListBullet"/>
      </w:pPr>
      <w:r>
        <w:t>Underlying (non-holiday) demand is growing: H2 2024 revenue was $398,662.45 vs. $423,374.59 in H1 2025, a +6.2% change despite H1 2025 having no holiday spike</w:t>
      </w:r>
    </w:p>
    <w:p>
      <w:pPr>
        <w:pStyle w:val="Heading1"/>
      </w:pPr>
      <w:r>
        <w:t>3. Revenue by Month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</w:tr>
      <w:tr>
        <w:tc>
          <w:tcPr>
            <w:tcW w:type="dxa" w:w="2880"/>
          </w:tcPr>
          <w:p>
            <w:r>
              <w:t>2024-07</w:t>
            </w:r>
          </w:p>
        </w:tc>
        <w:tc>
          <w:tcPr>
            <w:tcW w:type="dxa" w:w="2880"/>
          </w:tcPr>
          <w:p>
            <w:r>
              <w:t>$44,576.74</w:t>
            </w:r>
          </w:p>
        </w:tc>
        <w:tc>
          <w:tcPr>
            <w:tcW w:type="dxa" w:w="2880"/>
          </w:tcPr>
          <w:p>
            <w:r>
              <w:t>269</w:t>
            </w:r>
          </w:p>
        </w:tc>
      </w:tr>
      <w:tr>
        <w:tc>
          <w:tcPr>
            <w:tcW w:type="dxa" w:w="2880"/>
          </w:tcPr>
          <w:p>
            <w:r>
              <w:t>2024-08</w:t>
            </w:r>
          </w:p>
        </w:tc>
        <w:tc>
          <w:tcPr>
            <w:tcW w:type="dxa" w:w="2880"/>
          </w:tcPr>
          <w:p>
            <w:r>
              <w:t>$49,082.12</w:t>
            </w:r>
          </w:p>
        </w:tc>
        <w:tc>
          <w:tcPr>
            <w:tcW w:type="dxa" w:w="2880"/>
          </w:tcPr>
          <w:p>
            <w:r>
              <w:t>275</w:t>
            </w:r>
          </w:p>
        </w:tc>
      </w:tr>
      <w:tr>
        <w:tc>
          <w:tcPr>
            <w:tcW w:type="dxa" w:w="2880"/>
          </w:tcPr>
          <w:p>
            <w:r>
              <w:t>2024-09</w:t>
            </w:r>
          </w:p>
        </w:tc>
        <w:tc>
          <w:tcPr>
            <w:tcW w:type="dxa" w:w="2880"/>
          </w:tcPr>
          <w:p>
            <w:r>
              <w:t>$54,801.47</w:t>
            </w:r>
          </w:p>
        </w:tc>
        <w:tc>
          <w:tcPr>
            <w:tcW w:type="dxa" w:w="2880"/>
          </w:tcPr>
          <w:p>
            <w:r>
              <w:t>311</w:t>
            </w:r>
          </w:p>
        </w:tc>
      </w:tr>
      <w:tr>
        <w:tc>
          <w:tcPr>
            <w:tcW w:type="dxa" w:w="2880"/>
          </w:tcPr>
          <w:p>
            <w:r>
              <w:t>2024-10</w:t>
            </w:r>
          </w:p>
        </w:tc>
        <w:tc>
          <w:tcPr>
            <w:tcW w:type="dxa" w:w="2880"/>
          </w:tcPr>
          <w:p>
            <w:r>
              <w:t>$69,105.66</w:t>
            </w:r>
          </w:p>
        </w:tc>
        <w:tc>
          <w:tcPr>
            <w:tcW w:type="dxa" w:w="2880"/>
          </w:tcPr>
          <w:p>
            <w:r>
              <w:t>376</w:t>
            </w:r>
          </w:p>
        </w:tc>
      </w:tr>
      <w:tr>
        <w:tc>
          <w:tcPr>
            <w:tcW w:type="dxa" w:w="2880"/>
          </w:tcPr>
          <w:p>
            <w:r>
              <w:t>2024-11</w:t>
            </w:r>
          </w:p>
        </w:tc>
        <w:tc>
          <w:tcPr>
            <w:tcW w:type="dxa" w:w="2880"/>
          </w:tcPr>
          <w:p>
            <w:r>
              <w:t>$83,957.86</w:t>
            </w:r>
          </w:p>
        </w:tc>
        <w:tc>
          <w:tcPr>
            <w:tcW w:type="dxa" w:w="2880"/>
          </w:tcPr>
          <w:p>
            <w:r>
              <w:t>484</w:t>
            </w:r>
          </w:p>
        </w:tc>
      </w:tr>
      <w:tr>
        <w:tc>
          <w:tcPr>
            <w:tcW w:type="dxa" w:w="2880"/>
          </w:tcPr>
          <w:p>
            <w:r>
              <w:t>2024-12</w:t>
            </w:r>
          </w:p>
        </w:tc>
        <w:tc>
          <w:tcPr>
            <w:tcW w:type="dxa" w:w="2880"/>
          </w:tcPr>
          <w:p>
            <w:r>
              <w:t>$97,138.60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2025-01</w:t>
            </w:r>
          </w:p>
        </w:tc>
        <w:tc>
          <w:tcPr>
            <w:tcW w:type="dxa" w:w="2880"/>
          </w:tcPr>
          <w:p>
            <w:r>
              <w:t>$55,698.25</w:t>
            </w:r>
          </w:p>
        </w:tc>
        <w:tc>
          <w:tcPr>
            <w:tcW w:type="dxa" w:w="2880"/>
          </w:tcPr>
          <w:p>
            <w:r>
              <w:t>310</w:t>
            </w:r>
          </w:p>
        </w:tc>
      </w:tr>
      <w:tr>
        <w:tc>
          <w:tcPr>
            <w:tcW w:type="dxa" w:w="2880"/>
          </w:tcPr>
          <w:p>
            <w:r>
              <w:t>2025-02</w:t>
            </w:r>
          </w:p>
        </w:tc>
        <w:tc>
          <w:tcPr>
            <w:tcW w:type="dxa" w:w="2880"/>
          </w:tcPr>
          <w:p>
            <w:r>
              <w:t>$59,410.83</w:t>
            </w:r>
          </w:p>
        </w:tc>
        <w:tc>
          <w:tcPr>
            <w:tcW w:type="dxa" w:w="2880"/>
          </w:tcPr>
          <w:p>
            <w:r>
              <w:t>340</w:t>
            </w:r>
          </w:p>
        </w:tc>
      </w:tr>
      <w:tr>
        <w:tc>
          <w:tcPr>
            <w:tcW w:type="dxa" w:w="2880"/>
          </w:tcPr>
          <w:p>
            <w:r>
              <w:t>2025-03</w:t>
            </w:r>
          </w:p>
        </w:tc>
        <w:tc>
          <w:tcPr>
            <w:tcW w:type="dxa" w:w="2880"/>
          </w:tcPr>
          <w:p>
            <w:r>
              <w:t>$74,369.75</w:t>
            </w:r>
          </w:p>
        </w:tc>
        <w:tc>
          <w:tcPr>
            <w:tcW w:type="dxa" w:w="2880"/>
          </w:tcPr>
          <w:p>
            <w:r>
              <w:t>405</w:t>
            </w:r>
          </w:p>
        </w:tc>
      </w:tr>
      <w:tr>
        <w:tc>
          <w:tcPr>
            <w:tcW w:type="dxa" w:w="2880"/>
          </w:tcPr>
          <w:p>
            <w:r>
              <w:t>2025-04</w:t>
            </w:r>
          </w:p>
        </w:tc>
        <w:tc>
          <w:tcPr>
            <w:tcW w:type="dxa" w:w="2880"/>
          </w:tcPr>
          <w:p>
            <w:r>
              <w:t>$74,904.37</w:t>
            </w:r>
          </w:p>
        </w:tc>
        <w:tc>
          <w:tcPr>
            <w:tcW w:type="dxa" w:w="2880"/>
          </w:tcPr>
          <w:p>
            <w:r>
              <w:t>434</w:t>
            </w:r>
          </w:p>
        </w:tc>
      </w:tr>
      <w:tr>
        <w:tc>
          <w:tcPr>
            <w:tcW w:type="dxa" w:w="2880"/>
          </w:tcPr>
          <w:p>
            <w:r>
              <w:t>2025-05</w:t>
            </w:r>
          </w:p>
        </w:tc>
        <w:tc>
          <w:tcPr>
            <w:tcW w:type="dxa" w:w="2880"/>
          </w:tcPr>
          <w:p>
            <w:r>
              <w:t>$78,555.52</w:t>
            </w:r>
          </w:p>
        </w:tc>
        <w:tc>
          <w:tcPr>
            <w:tcW w:type="dxa" w:w="2880"/>
          </w:tcPr>
          <w:p>
            <w:r>
              <w:t>434</w:t>
            </w:r>
          </w:p>
        </w:tc>
      </w:tr>
      <w:tr>
        <w:tc>
          <w:tcPr>
            <w:tcW w:type="dxa" w:w="2880"/>
          </w:tcPr>
          <w:p>
            <w:r>
              <w:t>2025-06</w:t>
            </w:r>
          </w:p>
        </w:tc>
        <w:tc>
          <w:tcPr>
            <w:tcW w:type="dxa" w:w="2880"/>
          </w:tcPr>
          <w:p>
            <w:r>
              <w:t>$80,435.87</w:t>
            </w:r>
          </w:p>
        </w:tc>
        <w:tc>
          <w:tcPr>
            <w:tcW w:type="dxa" w:w="2880"/>
          </w:tcPr>
          <w:p>
            <w:r>
              <w:t>416</w:t>
            </w:r>
          </w:p>
        </w:tc>
      </w:tr>
    </w:tbl>
    <w:p>
      <w:pPr>
        <w:pStyle w:val="Heading1"/>
      </w:pPr>
      <w:r>
        <w:t>4. Revenue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AOV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$202,226.76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$218.62</w:t>
            </w:r>
          </w:p>
        </w:tc>
      </w:tr>
      <w:tr>
        <w:tc>
          <w:tcPr>
            <w:tcW w:type="dxa" w:w="2160"/>
          </w:tcPr>
          <w:p>
            <w:r>
              <w:t>Home &amp; Kitchen</w:t>
            </w:r>
          </w:p>
        </w:tc>
        <w:tc>
          <w:tcPr>
            <w:tcW w:type="dxa" w:w="2160"/>
          </w:tcPr>
          <w:p>
            <w:r>
              <w:t>$145,521.73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$158.69</w:t>
            </w:r>
          </w:p>
        </w:tc>
      </w:tr>
      <w:tr>
        <w:tc>
          <w:tcPr>
            <w:tcW w:type="dxa" w:w="2160"/>
          </w:tcPr>
          <w:p>
            <w:r>
              <w:t>Office</w:t>
            </w:r>
          </w:p>
        </w:tc>
        <w:tc>
          <w:tcPr>
            <w:tcW w:type="dxa" w:w="2160"/>
          </w:tcPr>
          <w:p>
            <w:r>
              <w:t>$139,996.79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$181.81</w:t>
            </w:r>
          </w:p>
        </w:tc>
      </w:tr>
      <w:tr>
        <w:tc>
          <w:tcPr>
            <w:tcW w:type="dxa" w:w="2160"/>
          </w:tcPr>
          <w:p>
            <w:r>
              <w:t>Sports &amp; Outdoor</w:t>
            </w:r>
          </w:p>
        </w:tc>
        <w:tc>
          <w:tcPr>
            <w:tcW w:type="dxa" w:w="2160"/>
          </w:tcPr>
          <w:p>
            <w:r>
              <w:t>$120,659.69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$151.39</w:t>
            </w:r>
          </w:p>
        </w:tc>
      </w:tr>
      <w:tr>
        <w:tc>
          <w:tcPr>
            <w:tcW w:type="dxa" w:w="2160"/>
          </w:tcPr>
          <w:p>
            <w:r>
              <w:t>Beauty</w:t>
            </w:r>
          </w:p>
        </w:tc>
        <w:tc>
          <w:tcPr>
            <w:tcW w:type="dxa" w:w="2160"/>
          </w:tcPr>
          <w:p>
            <w:r>
              <w:t>$112,022.16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$193.14</w:t>
            </w:r>
          </w:p>
        </w:tc>
      </w:tr>
      <w:tr>
        <w:tc>
          <w:tcPr>
            <w:tcW w:type="dxa" w:w="2160"/>
          </w:tcPr>
          <w:p>
            <w:r>
              <w:t>Toys</w:t>
            </w:r>
          </w:p>
        </w:tc>
        <w:tc>
          <w:tcPr>
            <w:tcW w:type="dxa" w:w="2160"/>
          </w:tcPr>
          <w:p>
            <w:r>
              <w:t>$101,609.91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$162.58</w:t>
            </w:r>
          </w:p>
        </w:tc>
      </w:tr>
    </w:tbl>
    <w:p>
      <w:pPr>
        <w:pStyle w:val="Heading1"/>
      </w:pPr>
      <w:r>
        <w:t>5. Deliverables</w:t>
      </w:r>
    </w:p>
    <w:p>
      <w:pPr>
        <w:pStyle w:val="Heading2"/>
      </w:pPr>
      <w:r>
        <w:t>5.1 Static analysis report</w:t>
      </w:r>
    </w:p>
    <w:p>
      <w:r>
        <w:t>monthly_sales_report.qmd — a Quarto/R report with the original revenue, AOV, and seasonality analysis, rendered to monthly_sales_report.html and monthly_sales_report.pdf.</w:t>
      </w:r>
    </w:p>
    <w:p>
      <w:pPr>
        <w:pStyle w:val="Heading2"/>
      </w:pPr>
      <w:r>
        <w:t>5.2 Interactive dashboard</w:t>
      </w:r>
    </w:p>
    <w:p>
      <w:r>
        <w:t>streamlit_app.py — a Streamlit dashboard with KPI cards, a revenue trend chart, a category breakdown, and sidebar filters for category and date range. Code is hosted at https://github.com/mancalevasic-blip/sales-dashboard, deployable to Streamlit Community Cloud as a public, no-login app. Requirements: docs/brainstorms/2026-06-22-sales-dashboard-requirements.md</w:t>
      </w:r>
    </w:p>
    <w:p>
      <w:pPr>
        <w:pStyle w:val="Heading2"/>
      </w:pPr>
      <w:r>
        <w:t>5.3 Leadership/board deck</w:t>
      </w:r>
    </w:p>
    <w:p>
      <w:r>
        <w:t>build_sales_deck.py generates sales_board_deck.pptx — an 8-slide deck (title, KPI summary, revenue trend, seasonality narrative, category breakdown, category detail, underlying growth, takeaways) in a light-editorial visual style. Requirements: docs/brainstorms/2026-06-22-sales-board-deck-requirements.md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Revenue figures are gross, with no adjustment for returns, discounts, or refunds</w:t>
      </w:r>
    </w:p>
    <w:p>
      <w:pPr>
        <w:pStyle w:val="ListBullet"/>
      </w:pPr>
      <w:r>
        <w:t>Only twelve months of data are available, so the seasonal interpretation of the December peak cannot be confirmed without a second holiday cycle to compare against</w:t>
      </w:r>
    </w:p>
    <w:p>
      <w:pPr>
        <w:pStyle w:val="ListBullet"/>
      </w:pPr>
      <w:r>
        <w:t>Drill-down is limited to category and date — no product- or customer-level breakdown was requested or built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