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Agentes de Inteligência Artificial para Pesquisa</w:t>
      </w:r>
    </w:p>
    <w:p>
      <w:pPr>
        <w:pStyle w:val="Subtitle"/>
      </w:pPr>
      <w:r>
        <w:t xml:space="preserve">Seminário Discente DCP-USP 2026</w:t>
      </w:r>
      <w:r>
        <w:t xml:space="preserve"> </w:t>
      </w:r>
      <w:r>
        <w:t xml:space="preserve">Minicurso de Curta Duração</w:t>
      </w:r>
    </w:p>
    <w:p>
      <w:pPr>
        <w:pStyle w:val="Author"/>
      </w:pPr>
      <w:r>
        <w:t xml:space="preserve">Manoel Galdino</w:t>
      </w:r>
    </w:p>
    <w:p>
      <w:pPr>
        <w:pStyle w:val="Author"/>
      </w:pPr>
      <w:r>
        <w:t xml:space="preserve">Felipe Lamarca</w:t>
      </w:r>
    </w:p>
    <w:p>
      <w:pPr>
        <w:pStyle w:val="Author"/>
      </w:pPr>
      <w:r>
        <w:t xml:space="preserve">Tales Mançano</w:t>
      </w:r>
    </w:p>
    <w:p>
      <w:pPr>
        <w:pStyle w:val="Date"/>
      </w:pPr>
      <w:r>
        <w:t xml:space="preserve">2026-08-24</w:t>
      </w:r>
    </w:p>
    <w:bookmarkStart w:id="9" w:name="visão-geral-e-justificativa"/>
    <w:p>
      <w:pPr>
        <w:pStyle w:val="Heading1"/>
      </w:pPr>
      <w:r>
        <w:t xml:space="preserve">1. Visão Geral e Justificativa</w:t>
      </w:r>
    </w:p>
    <w:p>
      <w:pPr>
        <w:pStyle w:val="FirstParagraph"/>
      </w:pPr>
      <w:r>
        <w:t xml:space="preserve">Os Modelos de Linguagem de Grande Porte (LLMs) inauguraram uma transição: dos chatbots para agentes de IA, sistemas capazes de executar comandos, não apenas responder. Na pesquisa acadêmica — não só em ciências sociais — isso significa executar planos com várias etapas, manipular dados empíricos, usar ferramentas externas (editar e ler arquivos, chamar APIs, pesquisar na internet) e testar os resultados das próprias tarefas.</w:t>
      </w:r>
    </w:p>
    <w:p>
      <w:pPr>
        <w:pStyle w:val="BodyText"/>
      </w:pPr>
      <w:r>
        <w:t xml:space="preserve">Isso já é útil para diversas tarefas que antes tomavam muito tempo e agora saem com custo bem mais baixo: análise exploratória de dados, transcrição de entrevistas, organização e triagem de arquivos extensos, classificação de notícias e outros documentos, e criação de bases de dados, entre outras.</w:t>
      </w:r>
    </w:p>
    <w:p>
      <w:pPr>
        <w:pStyle w:val="BodyText"/>
      </w:pPr>
      <w:r>
        <w:t xml:space="preserve">Este minicurso, oferecido no âmbito do</w:t>
      </w:r>
      <w:r>
        <w:t xml:space="preserve"> </w:t>
      </w:r>
      <w:r>
        <w:rPr>
          <w:b/>
          <w:bCs/>
        </w:rPr>
        <w:t xml:space="preserve">Seminário Discente DCP-USP 2026</w:t>
      </w:r>
      <w:r>
        <w:t xml:space="preserve">, tem como propósito introduzir pesquisadores aos fundamentos para usar agentes de IA de forma rigorosa — evitando problemas comuns como alucinações, falta de registro do que foi feito e falta de replicabilidade, e garantindo a possibilidade de revisar o trabalho depois. Isso passa por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: regras rígidas sobre o que um agente pode e não pode fazer, para evitar caos e catástrofe na pesquisa com agentes.</w:t>
      </w:r>
    </w:p>
    <w:p>
      <w:r>
        <w:pict>
          <v:rect style="width:0;height:1.5pt" o:hralign="center" o:hrstd="t" o:hr="t"/>
        </w:pict>
      </w:r>
    </w:p>
    <w:bookmarkEnd w:id="9"/>
    <w:bookmarkStart w:id="10" w:name="objetivos-de-aprendizagem"/>
    <w:p>
      <w:pPr>
        <w:pStyle w:val="Heading1"/>
      </w:pPr>
      <w:r>
        <w:t xml:space="preserve">2. Objetivos de Aprendizagem</w:t>
      </w:r>
    </w:p>
    <w:p>
      <w:pPr>
        <w:pStyle w:val="FirstParagraph"/>
      </w:pPr>
      <w:r>
        <w:t xml:space="preserve">Ao final do workshop, os participantes deverão ser capazes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Reconhecer</w:t>
      </w:r>
      <w:r>
        <w:t xml:space="preserve"> </w:t>
      </w:r>
      <w:r>
        <w:t xml:space="preserve">tarefas de pesquisa que já dá para automatizar com um agente hoje — transcrição, classificação de documentos, organização de arquivos extensos, análise exploratória de dados.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Configurar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de um agente — permissões, isolamento e containerização — para rodar com segurança.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Decidir</w:t>
      </w:r>
      <w:r>
        <w:t xml:space="preserve"> </w:t>
      </w:r>
      <w:r>
        <w:t xml:space="preserve">quando confiar no julgamento do modelo (instrução em prosa) e quando travar o comportamento com uma regra fixa (</w:t>
      </w:r>
      <w:r>
        <w:rPr>
          <w:i/>
          <w:iCs/>
        </w:rPr>
        <w:t xml:space="preserve">hook</w:t>
      </w:r>
      <w:r>
        <w:t xml:space="preserve">,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Escrever</w:t>
      </w:r>
      <w:r>
        <w:t xml:space="preserve"> </w:t>
      </w:r>
      <w:r>
        <w:t xml:space="preserve">hooks determinísticos,</w:t>
      </w:r>
      <w:r>
        <w:t xml:space="preserve"> </w:t>
      </w:r>
      <w:r>
        <w:rPr>
          <w:i/>
          <w:iCs/>
        </w:rPr>
        <w:t xml:space="preserve">skills</w:t>
      </w:r>
      <w:r>
        <w:t xml:space="preserve"> </w:t>
      </w:r>
      <w:r>
        <w:t xml:space="preserve">reutilizáveis e um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que funcione de verdade — evitando as armadilhas mais comuns.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Avaliar</w:t>
      </w:r>
      <w:r>
        <w:t xml:space="preserve"> </w:t>
      </w:r>
      <w:r>
        <w:t xml:space="preserve">e integrar ao fluxo de pesquisa uma ferramenta de IA já existente, com critério.</w:t>
      </w:r>
    </w:p>
    <w:p>
      <w:r>
        <w:pict>
          <v:rect style="width:0;height:1.5pt" o:hralign="center" o:hrstd="t" o:hr="t"/>
        </w:pict>
      </w:r>
    </w:p>
    <w:bookmarkEnd w:id="10"/>
    <w:bookmarkStart w:id="11" w:name="informações-operacionais"/>
    <w:p>
      <w:pPr>
        <w:pStyle w:val="Heading1"/>
      </w:pPr>
      <w:r>
        <w:t xml:space="preserve">3. Informações Operacionais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Carga Horária</w:t>
      </w:r>
      <w:r>
        <w:t xml:space="preserve">: 3 horas (2 sessões de 1h30).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Público-Alvo</w:t>
      </w:r>
      <w:r>
        <w:t xml:space="preserve">: Alunos de pós-graduação, pesquisadores e docentes em Ciência Política, Relações Internacionais, Sociologia e áreas afins.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Pré-Requisitos</w:t>
      </w:r>
      <w:r>
        <w:t xml:space="preserve">: Conhecimentos básicos de uso de computador e manipulação de arquivos. Não há exigência de experiência prévia em programação, embora familiaridade com R, Python ou terminal de comando seja benéfica.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Formato</w:t>
      </w:r>
      <w:r>
        <w:t xml:space="preserve">: Aulas expositivas e demonstrações ao vivo (</w:t>
      </w:r>
      <w:r>
        <w:rPr>
          <w:i/>
          <w:iCs/>
        </w:rPr>
        <w:t xml:space="preserve">live coding/tooling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4" w:name="programa-do-curso"/>
    <w:p>
      <w:pPr>
        <w:pStyle w:val="Heading1"/>
      </w:pPr>
      <w:r>
        <w:t xml:space="preserve">4. Programa do Curso</w:t>
      </w:r>
    </w:p>
    <w:bookmarkStart w:id="12" w:name="sessão-1-do-chatbot-ao-agente-1h30"/>
    <w:p>
      <w:pPr>
        <w:pStyle w:val="Heading2"/>
      </w:pPr>
      <w:r>
        <w:t xml:space="preserve">Sessão 1: Do Chatbot ao Agente (1h30)</w:t>
      </w:r>
    </w:p>
    <w:p>
      <w:pPr>
        <w:pStyle w:val="FirstParagraph"/>
      </w:pPr>
      <w:r>
        <w:rPr>
          <w:i/>
          <w:iCs/>
        </w:rPr>
        <w:t xml:space="preserve">Foco: caráter estritamente conceitual — o que muda quando um LLM ganha capacidade de agir. Nenhuma habilidade prática é ensinada nesta sessão.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Chatbot ao Agente</w:t>
      </w:r>
    </w:p>
    <w:p>
      <w:pPr>
        <w:pStyle w:val="Compact"/>
        <w:numPr>
          <w:ilvl w:val="1"/>
          <w:numId w:val="1004"/>
        </w:numPr>
      </w:pPr>
      <w:r>
        <w:t xml:space="preserve">LLMs como agentes: o que muda quando o modelo tem acesso a terminal, edita arquivos locais ou em rede, e executa tarefas de várias etapas sem supervisão a cada passo.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Prosa vs. Instruções Determinísticas</w:t>
      </w:r>
    </w:p>
    <w:p>
      <w:pPr>
        <w:pStyle w:val="Compact"/>
        <w:numPr>
          <w:ilvl w:val="1"/>
          <w:numId w:val="1005"/>
        </w:numPr>
      </w:pPr>
      <w:r>
        <w:t xml:space="preserve">Quando confiar no julgamento do modelo (instrução em prosa) e quando impor uma regra fixa que executa sempre da mesma forma.</w:t>
      </w:r>
    </w:p>
    <w:p>
      <w:pPr>
        <w:pStyle w:val="Compact"/>
        <w:numPr>
          <w:ilvl w:val="1"/>
          <w:numId w:val="1005"/>
        </w:numPr>
      </w:pPr>
      <w:r>
        <w:t xml:space="preserve">Por que a pesquisa empírica exige, em certos pontos do processo, uma previsibilidade que só regras determinísticas garantem.</w:t>
      </w:r>
    </w:p>
    <w:p>
      <w:pPr>
        <w:pStyle w:val="Compact"/>
        <w:numPr>
          <w:ilvl w:val="1"/>
          <w:numId w:val="1005"/>
        </w:numPr>
      </w:pPr>
      <w:r>
        <w:t xml:space="preserve">Gancho para a Sessão 2: essa distinção é a base de</w:t>
      </w:r>
      <w:r>
        <w:t xml:space="preserve"> </w:t>
      </w:r>
      <w:r>
        <w:rPr>
          <w:i/>
          <w:iCs/>
        </w:rPr>
        <w:t xml:space="preserve">hooks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Harness do Agente: Isolamento e Containerização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Harness</w:t>
      </w:r>
      <w:r>
        <w:t xml:space="preserve">: o ambiente que envolve o modelo e viabiliza sua execução — quem controla permissões de leitura/escrita, o que o agente pode acessar, quem decide quando parar.</w:t>
      </w:r>
    </w:p>
    <w:p>
      <w:pPr>
        <w:pStyle w:val="Compact"/>
        <w:numPr>
          <w:ilvl w:val="1"/>
          <w:numId w:val="1006"/>
        </w:numPr>
      </w:pPr>
      <w:r>
        <w:t xml:space="preserve">Containerização como mecanismo prático de isolamento: por que rodar um agente em sandbox/container limita o raio de dano de uma ação indevida.</w:t>
      </w:r>
    </w:p>
    <w:p>
      <w:r>
        <w:pict>
          <v:rect style="width:0;height:1.5pt" o:hralign="center" o:hrstd="t" o:hr="t"/>
        </w:pict>
      </w:r>
    </w:p>
    <w:bookmarkEnd w:id="12"/>
    <w:bookmarkStart w:id="13" w:name="sessão-2-habilidades-práticas-1h30"/>
    <w:p>
      <w:pPr>
        <w:pStyle w:val="Heading2"/>
      </w:pPr>
      <w:r>
        <w:t xml:space="preserve">Sessão 2: Habilidades Práticas (1h30)</w:t>
      </w:r>
    </w:p>
    <w:p>
      <w:pPr>
        <w:pStyle w:val="FirstParagraph"/>
      </w:pPr>
      <w:r>
        <w:rPr>
          <w:i/>
          <w:iCs/>
        </w:rPr>
        <w:t xml:space="preserve">Foco: colocar a mão na massa nas ferramentas que tornam um agente confiável e útil para a pesquisa.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 Hooks → Hooks de Agente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Git hooks</w:t>
      </w:r>
      <w:r>
        <w:t xml:space="preserve"> </w:t>
      </w:r>
      <w:r>
        <w:t xml:space="preserve">como ponto de partida familiar: scripts que disparam automaticamente em pontos fixos do fluxo de trabalho (commit, push).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Hooks</w:t>
      </w:r>
      <w:r>
        <w:t xml:space="preserve"> </w:t>
      </w:r>
      <w:r>
        <w:t xml:space="preserve">de agente como a mesma ideia aplicada à execução do modelo: validações e bloqueios que sempre disparam, independente do</w:t>
      </w:r>
      <w:r>
        <w:t xml:space="preserve"> </w:t>
      </w:r>
      <w:r>
        <w:t xml:space="preserve">“bom senso”</w:t>
      </w:r>
      <w:r>
        <w:t xml:space="preserve"> </w:t>
      </w:r>
      <w:r>
        <w:t xml:space="preserve">do modelo.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Code as policy</w:t>
      </w:r>
      <w:r>
        <w:t xml:space="preserve">: regras de governança escritas como código executável, não como texto que o modelo pode ou não seguir.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 e Model Context Protocol (MCP)</w:t>
      </w:r>
    </w:p>
    <w:p>
      <w:pPr>
        <w:pStyle w:val="Compact"/>
        <w:numPr>
          <w:ilvl w:val="1"/>
          <w:numId w:val="1009"/>
        </w:numPr>
      </w:pPr>
      <w:r>
        <w:t xml:space="preserve">O que são</w:t>
      </w:r>
      <w:r>
        <w:t xml:space="preserve"> </w:t>
      </w:r>
      <w:r>
        <w:rPr>
          <w:i/>
          <w:iCs/>
        </w:rPr>
        <w:t xml:space="preserve">skills</w:t>
      </w:r>
      <w:r>
        <w:t xml:space="preserve">: instruções empacotadas e reutilizáveis para tarefas de pesquisa recorrentes.</w:t>
      </w:r>
    </w:p>
    <w:p>
      <w:pPr>
        <w:pStyle w:val="Compact"/>
        <w:numPr>
          <w:ilvl w:val="1"/>
          <w:numId w:val="1009"/>
        </w:numPr>
      </w:pPr>
      <w:r>
        <w:t xml:space="preserve">MCP: como conectar agentes a ferramentas externas (arquivos, bancos de dados, APIs) de forma padronizada.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Escrevendo Bons Arquivos de Instrução (</w:t>
      </w:r>
      <w:r>
        <w:rPr>
          <w:rStyle w:val="VerbatimChar"/>
          <w:b/>
          <w:bCs/>
        </w:rPr>
        <w:t xml:space="preserve">AGENTS.md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Estrutura, nível de detalhe e armadilhas comuns ao instruir um agente sobre como operar em um repositório ou projeto de pesquisa.</w:t>
      </w:r>
    </w:p>
    <w:p>
      <w:pPr>
        <w:pStyle w:val="Compact"/>
        <w:numPr>
          <w:ilvl w:val="1"/>
          <w:numId w:val="1010"/>
        </w:numPr>
      </w:pPr>
      <w:r>
        <w:t xml:space="preserve">Exemplos de boas e más práticas.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com IA para Pesquisa — Boas Aplicações Exemplares</w:t>
      </w:r>
    </w:p>
    <w:p>
      <w:pPr>
        <w:pStyle w:val="Compact"/>
        <w:numPr>
          <w:ilvl w:val="1"/>
          <w:numId w:val="1011"/>
        </w:numPr>
      </w:pPr>
      <w:r>
        <w:t xml:space="preserve">O que caracteriza uma boa aplicação de IA no fluxo de pesquisa: respostas rastreáveis até a fonte, integração com as ferramentas que o pesquisador já usa, e transparência sobre o que foi automatizado.</w:t>
      </w:r>
    </w:p>
    <w:p>
      <w:pPr>
        <w:pStyle w:val="Compact"/>
        <w:numPr>
          <w:ilvl w:val="1"/>
          <w:numId w:val="1011"/>
        </w:numPr>
      </w:pPr>
      <w:r>
        <w:t xml:space="preserve">Categorias com boas alternativas de IA hoje (gestão de referências, transcrição, análise qualitativa): o mercado muda rápido e produtos específicos são superados por concorrentes ou novas versões — por isso o foco é no critério de avaliação, não em uma marca.</w:t>
      </w:r>
    </w:p>
    <w:p>
      <w:pPr>
        <w:pStyle w:val="Compact"/>
        <w:numPr>
          <w:ilvl w:val="1"/>
          <w:numId w:val="1011"/>
        </w:numPr>
      </w:pPr>
      <w:r>
        <w:t xml:space="preserve">Critérios para avaliar uma ferramenta antes de adotar: rastreabilidade da citação, portabilidade dos dados, custo e maturidade do projeto.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Agentes de Inteligência Artificial para Pesquisa</dc:title>
  <dc:creator>Manoel Galdino; Felipe Lamarca; Tales Mançano</dc:creator>
  <cp:keywords/>
  <dcterms:created xsi:type="dcterms:W3CDTF">2026-08-25T01:01:53Z</dcterms:created>
  <dcterms:modified xsi:type="dcterms:W3CDTF">2026-08-25T01:01:53Z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2026-08-24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Seminário Discente DCP-USP 2026 Minicurso de Curta Duração</vt:lpwstr>
  </property>
  <property fmtid="{D5CDD505-2E9C-101B-9397-08002B2CF9AE}" pid="14" name="toc-title">
    <vt:lpwstr>Table of contents</vt:lpwstr>
  </property>
</Properties>
</file>