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Antitrust as industrial policy: Government-Sponsored Mergers as Passive Industrial Policy in Brazil, 1995-2002</w:t>
      </w:r>
    </w:p>
    <w:p>
      <w:pPr>
        <w:pStyle w:val="Author"/>
      </w:pPr>
      <w:r>
        <w:t xml:space="preserve">André Vereta-Nahoum</w:t>
      </w:r>
    </w:p>
    <w:p>
      <w:pPr>
        <w:pStyle w:val="Author"/>
      </w:pPr>
      <w:r>
        <w:t xml:space="preserve">Tales Mançano</w:t>
      </w:r>
    </w:p>
    <w:p>
      <w:pPr>
        <w:pStyle w:val="AbstractTitle"/>
      </w:pPr>
      <w:r>
        <w:t xml:space="preserve">Abstract</w:t>
      </w:r>
    </w:p>
    <w:p>
      <w:pPr>
        <w:pStyle w:val="Abstract"/>
      </w:pPr>
      <w:r>
        <w:t xml:space="preserve">This article analyzes how antitrust policy can function as passive industrial policy, promoting competitiveness and internationalization in economies under fiscal constraint. Drawing on government-supported mergers in Brazil during the 1990s, the study examines how flexibility in the enforcement of competition law was justified by the need to strengthen national sectors in the face of economic liberalization. Antitrust and industrial policy are traditionally regarded as antagonistic. At the turn of the century, however, Brazil’s antitrust authority allowed the consolidation of major corporate groups, such as Gerdau and Ambev, on the grounds of efficiency gains and global competitiveness — even as the Cardoso government prioritized monetary stability and denied adopting sectoral industrial policies. The Brazilian case illustrates how fiscally conservative governments can strategically use antitrust policy to drive economic development and the internationalization of firms, aligning indirectly and passively with objectives traditionally associated with classic, strengthening-oriented industrial policy.</w:t>
      </w:r>
    </w:p>
    <w:bookmarkStart w:id="9" w:name="introduction"/>
    <w:p>
      <w:pPr>
        <w:pStyle w:val="Heading2"/>
      </w:pPr>
      <w:r>
        <w:t xml:space="preserve">Introduction</w:t>
      </w:r>
    </w:p>
    <w:p>
      <w:pPr>
        <w:pStyle w:val="FirstParagraph"/>
      </w:pPr>
      <w:r>
        <w:t xml:space="preserve">Can governments pursue industrial policy while explicitly denying doing so? This article examines how Brazil’s antitrust enforcement in the 1990s operated as a form of industrial policy under conditions of fiscal constraint and liberalizing reform, despite the official rejection of such policy by leading policymakers. During the administrations of Fernando Henrique Cardoso (FHC), economic policy was publicly organized around macroeconomic stabilization, market liberalization, and a commitment to limiting state intervention in markets. As the then Finance Minister Pedro Malan put it,</w:t>
      </w:r>
      <w:r>
        <w:t xml:space="preserve"> </w:t>
      </w:r>
      <w:r>
        <w:t xml:space="preserve">“the best industrial policy is to have no industrial policy”</w:t>
      </w:r>
      <w:r>
        <w:t xml:space="preserve"> </w:t>
      </w:r>
      <w:r>
        <w:t xml:space="preserve">(Folha de S.Paulo 2004)</w:t>
      </w:r>
      <w:r>
        <w:t xml:space="preserve">. Yet, at the same time, major mergers involving leading Brazilian firms were approved with explicit support from the executive branch and justified in terms of the need to compete internationally. This apparent contradiction constitutes the central puzzle of the paper. In the absence and even explicit denial of specific industrial policy mechanisms, antitrust can serve as an indirect regulatory means with similar effects of benefitting specific firms and industries with firm-level competitiveness or sectoral concentration. In this sense, industrial policy may operate not through visible interventions such as subsidies or protection, but through the reinterpretation and selective enforcement of existing legal frameworks. This case also emphasizes the importance of analytically disentangling state discourses, policy instruments, and policy effects.</w:t>
      </w:r>
    </w:p>
    <w:p>
      <w:pPr>
        <w:pStyle w:val="BodyText"/>
      </w:pPr>
      <w:r>
        <w:t xml:space="preserve">Passive industrial policy, as defined in this article, refers to the promotion of sectoral or firm-level competitiveness through regulatory practices that do not involve fiscal transfers or direct state coordination, but instead operate by enabling market restructuring. When such policies are pursued under explicit discursive denial, they take the form of covert industrial policy. This passivity should not be mistaken for state absence. Rather, it reflects a form of indirect and strategically mediated intervention, in which the state shapes market outcomes by exercising discretion over enforcement, interpretation, and institutional design. In the Brazilian case, this occurred through the lenient application of antitrust law, which allowed firms to consolidate their domestic market positions and subsequently expand internationally.</w:t>
      </w:r>
    </w:p>
    <w:p>
      <w:pPr>
        <w:pStyle w:val="BodyText"/>
      </w:pPr>
      <w:r>
        <w:t xml:space="preserve">The mechanism through which this process unfolds can be understood as a form of institutional conversion, in the sense developed by</w:t>
      </w:r>
      <w:r>
        <w:t xml:space="preserve"> </w:t>
      </w:r>
      <w:r>
        <w:t xml:space="preserve">Mahoney and Thelen (2010)</w:t>
      </w:r>
      <w:r>
        <w:t xml:space="preserve">. Existing rules are not formally changed but are reinterpreted in ways that produce outcomes that diverge from their original intent. In the context of antitrust policy, two legal concepts are particularly central to this process: efficiency and the definition of the relevant market. While efficiency was formally tied to consumer welfare in the new competition regime, it could be expanded in practice to include considerations of firm competitiveness and technological upgrading. More importantly, the concept of the relevant market proved highly malleable. By defining markets as global rather than national, actors were able to dilute measures of concentration and justify mergers as necessary responses to international competition. This ambiguity created room for interpretation that enabled the conversion of antitrust policy into an instrument of industrial policy.</w:t>
      </w:r>
    </w:p>
    <w:p>
      <w:pPr>
        <w:pStyle w:val="BodyText"/>
      </w:pPr>
      <w:r>
        <w:t xml:space="preserve">The empirical analysis is based on a comparative study of two emblematic merger cases in Brazil during the 1990s: the acquisition of Pains by the Gerdau Group in the steel sector and the merger of Antarctica and Brahma into Ambev in the beverage sector. These cases are particularly revealing because they were highly contested, involved extensive documentation, and generated significant political debate. The study employs process tracing based on administrative rulings by the Administrative Council for Economic Defense (CADE), technical reports produced by government agencies, corporate statements, and media coverage. In order to manage and analyze a large volume of textual material, the research also relied on computational assistance using large language models, namely NotebookLM. These tools were used to reconstruct procedural timelines, identify recurring argumentative patterns, and compare the positions of different actors across documents. Their use was strictly supportive, facilitating the organization and interrogation of the material, while all analytical interpretations were carried out by the authors.</w:t>
      </w:r>
    </w:p>
    <w:p>
      <w:pPr>
        <w:pStyle w:val="BodyText"/>
      </w:pPr>
      <w:r>
        <w:t xml:space="preserve">The Brazilian case is especially illuminating because it unfolds in a context where industrial policy was not only absent but explicitly disavowed. Following the enactment of the 1994 competition law, CADE was strengthened as an autonomous authority tasked with promoting competition and supporting macroeconomic stabilization. The broader policy framework emphasized the reduction of state intervention and the disciplining of markets, in part as a strategy to control inflation. At the same time, trade liberalization exposed domestic firms to increased foreign competition, raising concerns about their capacity to survive and expand in a more open economy. It is within this context that antitrust policy became a site of strategic reinterpretation.</w:t>
      </w:r>
    </w:p>
    <w:p>
      <w:pPr>
        <w:pStyle w:val="BodyText"/>
      </w:pPr>
      <w:r>
        <w:t xml:space="preserve">Taken together, the two cases reveal the process of institutional conversion that allowed the manipulation of antitrust regulatory principles to serve as a passive industrial policy. In the Gerdau case, the reinterpretation of antitrust principles required direct political intervention and generated visible conflict within the regulatory framework. By the time of the Ambev merger, similar interpretive moves were more readily accommodated within the logic of the competition regime itself. The ambiguity surrounding the definition of the relevant market played a central role in this transformation, providing the legal and analytical flexibility necessary to reconcile high levels of domestic concentration with the formal requirements of competition law. Through this process, antitrust policy came to function as a mechanism for enabling firm consolidation and promoting international competitiveness, even as industrial policy continued to be publicly disavowed.</w:t>
      </w:r>
    </w:p>
    <w:p>
      <w:pPr>
        <w:pStyle w:val="BodyText"/>
      </w:pPr>
      <w:r>
        <w:t xml:space="preserve">These findings have broader implications for debates on industrial policy and competition in international political economy. They suggest that industrial policy need not take the form of explicit intervention or fiscal expenditure, but can be embedded in the operation of regulatory regimes typically associated with market discipline. They also challenge the view of antitrust as a neutral and purely technocratic instrument, highlighting its susceptibility to political reinterpretation and strategic use. Finally, the Brazilian case resonates with contemporary debates in the United States and the European Union, where policymakers have increasingly sought to reconcile antitrust enforcement with the need to foster globally competitive firms in sectors such as digital platforms, artificial intelligence, and green technologies. These debates are often framed as a choice between maintaining strict competition or relaxing enforcement to enable scale</w:t>
      </w:r>
      <w:r>
        <w:t xml:space="preserve"> </w:t>
      </w:r>
      <w:r>
        <w:t xml:space="preserve">(Khan 2016; Khan and Vaheesan 2017; Juhász et al. 2024)</w:t>
      </w:r>
      <w:r>
        <w:t xml:space="preserve">.</w:t>
      </w:r>
    </w:p>
    <w:p>
      <w:pPr>
        <w:pStyle w:val="BodyText"/>
      </w:pPr>
      <w:r>
        <w:t xml:space="preserve">The Brazilian case suggests that this dichotomy may be misleading. Rather than formally suspending antitrust principles, states may pursue industrial objectives through the internal reinterpretation of competition law, allowing concentration while preserving the formal language of market efficiency and consumer welfare. In this sense, contemporary efforts to align antitrust with industrial strategy may already involve forms of covert and passive industrial policy, even where such policies are not explicitly acknowledged.</w:t>
      </w:r>
    </w:p>
    <w:p>
      <w:pPr>
        <w:pStyle w:val="BodyText"/>
      </w:pPr>
      <w:r>
        <w:t xml:space="preserve">The article proceeds as follows. The next section situates the argument within existing debates on antitrust and industrial policy. The subsequent sections analyze the Gerdau and Ambev cases in detail, followed by a comparative discussion of the mechanisms at work and their broader implications.</w:t>
      </w:r>
    </w:p>
    <w:bookmarkEnd w:id="9"/>
    <w:bookmarkStart w:id="10" w:name="X2e33e1863bc1074c1db7ce587134fbdf90946ad"/>
    <w:p>
      <w:pPr>
        <w:pStyle w:val="Heading2"/>
      </w:pPr>
      <w:r>
        <w:t xml:space="preserve">Antitrust and Industrial Policy: Reframing the Relationship</w:t>
      </w:r>
    </w:p>
    <w:p>
      <w:pPr>
        <w:pStyle w:val="FirstParagraph"/>
      </w:pPr>
      <w:r>
        <w:t xml:space="preserve">The relationship between antitrust and industrial policy has long been framed as one of tension, if not outright incompatibility. Early antitrust traditions in the United States, associated with Louis Brandeis and progressive-era reformers, viewed concentration as both an economic and political threat, opposing large-scale corporate organization on the grounds that it undermined democracy and fair competition</w:t>
      </w:r>
      <w:r>
        <w:t xml:space="preserve"> </w:t>
      </w:r>
      <w:r>
        <w:t xml:space="preserve">(Berk 2009; Hovenkamp 2005)</w:t>
      </w:r>
      <w:r>
        <w:t xml:space="preserve">. Within this perspective, industrial policy — understood as state support for specific sectors or firms — appeared as a dangerous extension of concentrated power, further entrenching dominant actors at the expense of smaller competitors.</w:t>
      </w:r>
    </w:p>
    <w:p>
      <w:pPr>
        <w:pStyle w:val="BodyText"/>
      </w:pPr>
      <w:r>
        <w:t xml:space="preserve">This skepticism persisted, albeit in different form, within the Chicago School and transaction-cost approaches that came to dominate antitrust thinking in the late twentieth century. While these approaches rejected Brandeisian hostility to large firms, they nonetheless opposed industrial policy interventions on the grounds that they distorted market signals and reduced efficiency</w:t>
      </w:r>
      <w:r>
        <w:t xml:space="preserve"> </w:t>
      </w:r>
      <w:r>
        <w:t xml:space="preserve">(Posner 1979; Bork 1978; Williamson 1975)</w:t>
      </w:r>
      <w:r>
        <w:t xml:space="preserve">. Antitrust, in this view, should focus narrowly on consumer welfare, allowing concentration where it produces efficiency gains and intervening only where clear harm can be demonstrated.</w:t>
      </w:r>
    </w:p>
    <w:p>
      <w:pPr>
        <w:pStyle w:val="BodyText"/>
      </w:pPr>
      <w:r>
        <w:t xml:space="preserve">In recent years, the resurgence of industrial policy in advanced economies has reopened these debates. Scholars and policymakers have increasingly questioned whether strict adherence to competition principles is compatible with the need to foster innovation, build strategic industries, and compete in global markets</w:t>
      </w:r>
      <w:r>
        <w:t xml:space="preserve"> </w:t>
      </w:r>
      <w:r>
        <w:t xml:space="preserve">(Khan 2016; Khan and Vaheesan 2017; Juhász et al. 2024)</w:t>
      </w:r>
      <w:r>
        <w:t xml:space="preserve">. Yet even in this renewed context, the relationship between antitrust and industrial policy is often framed as a trade-off, with governments facing a choice between maintaining competitive markets and enabling the emergence of large, globally competitive firms.</w:t>
      </w:r>
    </w:p>
    <w:p>
      <w:pPr>
        <w:pStyle w:val="BodyText"/>
      </w:pPr>
      <w:r>
        <w:t xml:space="preserve">This binary framing obscures the possibility that antitrust itself may serve as a vehicle for industrial policy. Historical institutionalist accounts have pointed in this direction, showing that regulatory regimes can shape market structures in ways that resemble industrial policy outcomes, even in the absence of explicit state planning</w:t>
      </w:r>
      <w:r>
        <w:t xml:space="preserve"> </w:t>
      </w:r>
      <w:r>
        <w:t xml:space="preserve">(Dobbin 1994; Prasad 2012)</w:t>
      </w:r>
      <w:r>
        <w:t xml:space="preserve">. More recent comparative work reinforces this point: even among advanced economies, the degree of bureaucratic discretion afforded to competition authorities — rather than formal changes to statute — has been shown to condition how competition regimes evolve over time</w:t>
      </w:r>
      <w:r>
        <w:t xml:space="preserve"> </w:t>
      </w:r>
      <w:r>
        <w:t xml:space="preserve">(Foster and Thelen 2024)</w:t>
      </w:r>
      <w:r>
        <w:t xml:space="preserve">. However, these accounts have focused primarily on earlier periods and have not systematically examined how such processes unfold in contemporary liberalizing contexts.</w:t>
      </w:r>
    </w:p>
    <w:p>
      <w:pPr>
        <w:pStyle w:val="BodyText"/>
      </w:pPr>
      <w:r>
        <w:t xml:space="preserve">The Brazilian case suggests that the opposition between antitrust and industrial policy is not only overstated but analytically misleading. Rather than choosing between competition and intervention, governments may pursue industrial objectives through the internal reinterpretation of competition law. This requires shifting attention away from formal policy categories and toward the ways in which legal concepts are mobilized and redefined in practice. In particular, it calls for examining how ambiguities embedded in antitrust frameworks — such as those surrounding efficiency and market definition — create opportunities for strategic reinterpretation.</w:t>
      </w:r>
    </w:p>
    <w:p>
      <w:pPr>
        <w:pStyle w:val="BodyText"/>
      </w:pPr>
      <w:r>
        <w:t xml:space="preserve">By foregrounding these dynamics, the paper shows that antitrust policy, far from being a neutral or purely technical domain, is deeply embedded in broader struggles over economic strategy and state intervention. In doing so, it opens up a new perspective on the relationship between liberalization and industrial policy, suggesting that the former may not displace the latter but rather transform its modalities.</w:t>
      </w:r>
    </w:p>
    <w:bookmarkEnd w:id="10"/>
    <w:bookmarkStart w:id="11" w:name="X6ec7d7f50bb3039043325299cebdeec428f8718"/>
    <w:p>
      <w:pPr>
        <w:pStyle w:val="Heading2"/>
      </w:pPr>
      <w:r>
        <w:t xml:space="preserve">Context: Liberalization, Institutional Reform, and the Emergence of a New Antitrust Regime</w:t>
      </w:r>
    </w:p>
    <w:p>
      <w:pPr>
        <w:pStyle w:val="FirstParagraph"/>
      </w:pPr>
      <w:r>
        <w:t xml:space="preserve">The transformation of Brazil’s political economy in the 1990s provides a critical backdrop for understanding the cases analyzed in this paper. Following decades of state-led development characterized by import substitution, state-owned enterprises, and corporatist arrangements, the country embarked on a process of economic liberalization that reshaped the relationship between state and market. Trade barriers were reduced, privatization programs were implemented, and macroeconomic stabilization became the central objective of economic policy.</w:t>
      </w:r>
    </w:p>
    <w:p>
      <w:pPr>
        <w:pStyle w:val="BodyText"/>
      </w:pPr>
      <w:r>
        <w:t xml:space="preserve">Within this broader transformation, the reform of the competition regime played a key role. The enactment of the 1994 antitrust law strengthened the institutional capacity and autonomy of CADE, positioning it as the central authority responsible for enforcing competition policy. The new framework aimed not only to promote efficiency and consumer welfare but also to support macroeconomic stabilization by preventing price distortions and anti-competitive practices that could undermine inflation control.</w:t>
      </w:r>
    </w:p>
    <w:p>
      <w:pPr>
        <w:pStyle w:val="BodyText"/>
      </w:pPr>
      <w:r>
        <w:t xml:space="preserve">At the same time, the ideological orientation of the government emphasized a retreat from direct state intervention in the economy. Policymakers sought to distance themselves from the developmentalist strategies of previous decades, framing liberalization as both a technical necessity and a normative commitment to market principles. This orientation was reflected in public statements that rejected industrial policy and in efforts to limit the role of the state in coordinating economic activity.</w:t>
      </w:r>
    </w:p>
    <w:p>
      <w:pPr>
        <w:pStyle w:val="BodyText"/>
      </w:pPr>
      <w:r>
        <w:t xml:space="preserve">Yet this apparent withdrawal of the state coincided with new challenges. The opening of the economy exposed domestic firms to increased competition from foreign producers, raising concerns about their ability to survive and expand in a more integrated global market. In this context, the consolidation of domestic firms emerged as a potential strategy for enhancing competitiveness, even as the formal policy framework discouraged direct intervention.</w:t>
      </w:r>
    </w:p>
    <w:p>
      <w:pPr>
        <w:pStyle w:val="BodyText"/>
      </w:pPr>
      <w:r>
        <w:t xml:space="preserve">It is within this tension between ideological commitment and economic necessity that the reinterpretation of antitrust policy took place. The new competition regime, while designed to promote market discipline, also contained ambiguities that could be mobilized to accommodate consolidation. The following sections examine how these ambiguities were exploited in practice through the Gerdau and Ambev cases.</w:t>
      </w:r>
    </w:p>
    <w:bookmarkEnd w:id="11"/>
    <w:bookmarkStart w:id="13" w:name="Xe61f22d7c58da2703ddc86dedba0ff6bbd21f4d"/>
    <w:p>
      <w:pPr>
        <w:pStyle w:val="Heading2"/>
      </w:pPr>
      <w:r>
        <w:t xml:space="preserve">The Gerdau–Pains Case: Conflict, Intervention, and the Reinterpretation of Antitrust</w:t>
      </w:r>
    </w:p>
    <w:p>
      <w:pPr>
        <w:pStyle w:val="FirstParagraph"/>
      </w:pPr>
      <w:r>
        <w:t xml:space="preserve">The Gerdau-Pains case provides an early and revealing instance of the tensions inherent in the new competition regime. The Pains acquisition was among the first post-1994 CADE cases to generate widespread controversy</w:t>
      </w:r>
      <w:r>
        <w:t xml:space="preserve"> </w:t>
      </w:r>
      <w:r>
        <w:t xml:space="preserve">(Onto 2016, 59)</w:t>
      </w:r>
      <w:r>
        <w:t xml:space="preserve">. In the mid-1990s, Gerdau’s acquisition of assets associated with the German group Korf, including the Pains steel mill, raised concerns within CADE about excessive concentration in the domestic market for long steel products, particularly rebar.</w:t>
      </w:r>
      <w:r>
        <w:rPr>
          <w:rStyle w:val="FootnoteReference"/>
        </w:rPr>
        <w:footnoteReference w:id="12"/>
      </w:r>
      <w:r>
        <w:t xml:space="preserve"> </w:t>
      </w:r>
      <w:r>
        <w:t xml:space="preserve">Central to the dispute were the definition of the relevant market and the assessment of potential efficiency gains, which could justify, in the terms of the antitrust law of the period, increased market concentration. Efficiency, in this context, meant that the firm could achieve</w:t>
      </w:r>
      <w:r>
        <w:t xml:space="preserve"> </w:t>
      </w:r>
      <w:r>
        <w:t xml:space="preserve">“synergies”</w:t>
      </w:r>
      <w:r>
        <w:t xml:space="preserve"> </w:t>
      </w:r>
      <w:r>
        <w:t xml:space="preserve">— that is, through gains from logistical and productive centralization, it could reduce production costs, sell the product more cheaply in the market. The case unfolded over a protracted period marked by legal disputes, political intervention, and institutional transformation.</w:t>
      </w:r>
    </w:p>
    <w:p>
      <w:pPr>
        <w:pStyle w:val="BodyText"/>
      </w:pPr>
      <w:r>
        <w:t xml:space="preserve">The firms’ legal teams defined the relevant market as international in nature, asserting steel was a global commodity. They also claimed the merger would produce efficiency gains, including access to proprietary technologies and the rescue of financially distressed operations</w:t>
      </w:r>
      <w:r>
        <w:t xml:space="preserve"> </w:t>
      </w:r>
      <w:r>
        <w:t xml:space="preserve">(Brasil. Ministério da Justiça. Conselho Administrativo de Defesa Econômica 1995)</w:t>
      </w:r>
      <w:r>
        <w:t xml:space="preserve">.</w:t>
      </w:r>
    </w:p>
    <w:p>
      <w:pPr>
        <w:pStyle w:val="BodyText"/>
      </w:pPr>
      <w:r>
        <w:t xml:space="preserve">In its initial assessment, CADE adopted a relatively strict interpretation of competition principles. The authority emphasized that the merger would substantially increase concentration in the domestic market and questioned the validity of the efficiency claims advanced by the firms. CADE’s technical analysis suggested that, despite trade liberalization, domestic prices for steel products remained largely decoupled from international benchmarks, indicating that the market retained a predominantly national character. This finding implied that the merger would create significant market power within Brazil, raising concerns about potential anti-competitive effects</w:t>
      </w:r>
      <w:r>
        <w:t xml:space="preserve"> </w:t>
      </w:r>
      <w:r>
        <w:t xml:space="preserve">(Brasil. Ministério da Justiça. Conselho Administrativo de Defesa Econômica 1995)</w:t>
      </w:r>
      <w:r>
        <w:t xml:space="preserve">.</w:t>
      </w:r>
    </w:p>
    <w:p>
      <w:pPr>
        <w:pStyle w:val="BodyText"/>
      </w:pPr>
      <w:r>
        <w:t xml:space="preserve">The authority initially issued a partial approval, requiring the deconstitution of part of the operation. Gerdau and its allies contested this interpretation, arguing that steel should be understood as a global commodity subject to international competition. By framing the relevant market in global terms, they sought to demonstrate that domestic concentration was less problematic and that the merger was necessary to achieve the scale required to compete internationally</w:t>
      </w:r>
      <w:r>
        <w:t xml:space="preserve"> </w:t>
      </w:r>
      <w:r>
        <w:t xml:space="preserve">(Seidl 1996)</w:t>
      </w:r>
      <w:r>
        <w:t xml:space="preserve">.</w:t>
      </w:r>
    </w:p>
    <w:p>
      <w:pPr>
        <w:pStyle w:val="BodyText"/>
      </w:pPr>
      <w:r>
        <w:t xml:space="preserve">Rather than pursue the matter through the courts, Gerdau pressured FHC’s Justice Minister, Nelson Jobim — who immediately took the firm’s side against the regulator — despite the recently enacted Law 8,884/94, whose Article 50 established that CADE’s decisions</w:t>
      </w:r>
      <w:r>
        <w:t xml:space="preserve"> </w:t>
      </w:r>
      <w:r>
        <w:t xml:space="preserve">“are not subject to review within the Executive Branch”</w:t>
      </w:r>
      <w:r>
        <w:t xml:space="preserve"> </w:t>
      </w:r>
      <w:r>
        <w:t xml:space="preserve">(Brasil 1994)</w:t>
      </w:r>
      <w:r>
        <w:t xml:space="preserve">. In a departmental order, Jobim nonetheless granted the appeal Gerdau had filed with the ministry against CADE’s October decision ordering the dissolution of its purchase of Pains, suspending that decision on the grounds that</w:t>
      </w:r>
      <w:r>
        <w:t xml:space="preserve"> </w:t>
      </w:r>
      <w:r>
        <w:t xml:space="preserve">“the Brazilian steel market is open to international products, and the concentration act does not eliminate competition in a substantial part of the market”</w:t>
      </w:r>
      <w:r>
        <w:t xml:space="preserve"> </w:t>
      </w:r>
      <w:r>
        <w:t xml:space="preserve">(Ribeiro 1995)</w:t>
      </w:r>
      <w:r>
        <w:t xml:space="preserve">. In the minister’s view, since steel products were a commodity, it made no sense to treat the roughly 46-percent concentration in common long steel at stake as grounds for a veto, since the product could easily be imported. The order reached further than the case at hand: Jobim held that CADE had the final word only on infractions against the economic order — price-fixing agreements, for instance — but not on the acquisition and merger of firms</w:t>
      </w:r>
      <w:r>
        <w:t xml:space="preserve"> </w:t>
      </w:r>
      <w:r>
        <w:t xml:space="preserve">(Ribeiro 1995)</w:t>
      </w:r>
      <w:r>
        <w:t xml:space="preserve">. Without any legislative change, the minister thus redrew the boundary of the agency’s jurisdiction at precisely the point where the new competition regime bore on industrial structure, subordinating merger review to the Executive while leaving the letter of Law 8,884/94 intact. Gerdau’s public response was forceful: according to the firm, CADE’s opposition to the Pains purchase</w:t>
      </w:r>
      <w:r>
        <w:t xml:space="preserve"> </w:t>
      </w:r>
      <w:r>
        <w:t xml:space="preserve">“does not follow the government’s political strategy, nor does it track the evolution of the international scenario”</w:t>
      </w:r>
      <w:r>
        <w:t xml:space="preserve"> </w:t>
      </w:r>
      <w:r>
        <w:t xml:space="preserve">(Folha de S.Paulo 1995b)</w:t>
      </w:r>
      <w:r>
        <w:t xml:space="preserve">, suggesting that the firm counted on active government support for the acquisition. Gerdau widened its attacks on CADE, arguing that the decision was anticompetitive and undermined the country’s economic opening, and that the agency’s definition of the relevant market was inappropriate — a rhetorical move resembling that of Chicago School economists against the earlier antitrust tradition. As chairman Jorge Gerdau Johannpeter put it, CADE was</w:t>
      </w:r>
      <w:r>
        <w:t xml:space="preserve"> </w:t>
      </w:r>
      <w:r>
        <w:t xml:space="preserve">“yet another chapter in the delay of Brazil’s economic opening”</w:t>
      </w:r>
      <w:r>
        <w:t xml:space="preserve"> </w:t>
      </w:r>
      <w:r>
        <w:t xml:space="preserve">(Seidl 1996)</w:t>
      </w:r>
      <w:r>
        <w:t xml:space="preserve">; he argued that antitrust law was anachronistic because it was tied to a closed-market vision, and that the country should either adopt structural solutions for competitiveness or watch businesses turn, out of desperation, to protectionist ones. The chairman argued that mergers and acquisitions were the path to competitiveness and efficiency in an era of economic globalization, and that CADE interfered with this process through legislation far more restrictive than that of First World and Asian countries. In an official note, Gerdau further argued that the steel sector was inherently oligopolistic — profitable only at large production scales — pointing to a single steel group operating in France and only two in England, and to a merger trend already under way among U.S. steelmakers; the note added that the sector was open to international competition, since import tariffs stood at around 10 percent</w:t>
      </w:r>
      <w:r>
        <w:t xml:space="preserve"> </w:t>
      </w:r>
      <w:r>
        <w:t xml:space="preserve">(Seidl 1996)</w:t>
      </w:r>
      <w:r>
        <w:t xml:space="preserve">.</w:t>
      </w:r>
    </w:p>
    <w:p>
      <w:pPr>
        <w:pStyle w:val="BodyText"/>
      </w:pPr>
      <w:r>
        <w:t xml:space="preserve">The case was then reconsidered by a reconfigured CADE, which ultimately approved the acquisition subject to conditions — including divestments and supply-related commitments — designed to mitigate anti-competitive effects. However, the outcome of the case extended beyond the specific operation. It had significant institutional consequences and contributed to the redefinition of antitrust policy in Brazil. In response to the tensions generated by the decision, President Cardoso altered the composition of CADE, replacing members with legal backgrounds with economists trained in transaction-cost approaches to antitrust</w:t>
      </w:r>
      <w:r>
        <w:t xml:space="preserve"> </w:t>
      </w:r>
      <w:r>
        <w:t xml:space="preserve">(Onto 2016)</w:t>
      </w:r>
      <w:r>
        <w:t xml:space="preserve">. President Cardoso reportedly warned the newly appointed counselors:</w:t>
      </w:r>
      <w:r>
        <w:t xml:space="preserve"> </w:t>
      </w:r>
      <w:r>
        <w:t xml:space="preserve">“Don’t cause me any problems!”</w:t>
      </w:r>
      <w:r>
        <w:t xml:space="preserve"> </w:t>
      </w:r>
      <w:r>
        <w:t xml:space="preserve">(Onto 2016, 70)</w:t>
      </w:r>
      <w:r>
        <w:t xml:space="preserve">.</w:t>
      </w:r>
    </w:p>
    <w:p>
      <w:pPr>
        <w:pStyle w:val="BodyText"/>
      </w:pPr>
      <w:r>
        <w:t xml:space="preserve">This shift in expertise contributed to a reorientation of the authority toward a more permissive stance regarding mergers and acquisitions, emphasizing efficiency and conduct remedies over structural constraints. The case established a precedent for the acceptance of mergers justified in terms of international competitiveness. This transformation can be understood as part of a broader process of institutional conversion</w:t>
      </w:r>
      <w:r>
        <w:t xml:space="preserve"> </w:t>
      </w:r>
      <w:r>
        <w:t xml:space="preserve">(Mahoney and Thelen 2010)</w:t>
      </w:r>
      <w:r>
        <w:t xml:space="preserve">, in which the meaning and application of competition law were reshaped without formal legislative change.</w:t>
      </w:r>
    </w:p>
    <w:bookmarkEnd w:id="13"/>
    <w:bookmarkStart w:id="15" w:name="X00c81a9984a7ec8fc9b82b17b990de8e24e79af"/>
    <w:p>
      <w:pPr>
        <w:pStyle w:val="Heading2"/>
      </w:pPr>
      <w:r>
        <w:t xml:space="preserve">The Ambev Case: Consolidation, Legitimization, and the Stabilization of Conversion</w:t>
      </w:r>
    </w:p>
    <w:p>
      <w:pPr>
        <w:pStyle w:val="FirstParagraph"/>
      </w:pPr>
      <w:r>
        <w:t xml:space="preserve">The Ambev case, decided at the end of the decade, reflects the consolidation of this new orientation. The merger between Antarctica and Brahma, announced in 1999, brought together the two largest beer producers in the country, creating a firm that controlled approximately 70 percent of the beer market and a substantial share of distribution networks.</w:t>
      </w:r>
    </w:p>
    <w:p>
      <w:pPr>
        <w:pStyle w:val="BodyText"/>
      </w:pPr>
      <w:r>
        <w:t xml:space="preserve">Throughout the 1990s economic opening, Brazil’s brewers had been courted by foreign multinationals for acquisitions or distribution partnerships, seen by many as a prelude to the entry of the sector’s leading global firms into the domestic market</w:t>
      </w:r>
      <w:r>
        <w:t xml:space="preserve"> </w:t>
      </w:r>
      <w:r>
        <w:t xml:space="preserve">(Abdallah 2020)</w:t>
      </w:r>
      <w:r>
        <w:t xml:space="preserve">. In any eventual competition with these foreign entrants, domestic firms would be at a serious disadvantage: with access only to the costlier domestic credit market, they would have to pay higher interest rates, raising the cost of investment and limiting what they could offer to acquire other firms in Brazil or abroad, while foreign firms — able to borrow at significantly lower rates, as in the U.S. credit market — could offer more for the same targets. As Antarctica’s chairman put it:</w:t>
      </w:r>
      <w:r>
        <w:t xml:space="preserve"> </w:t>
      </w:r>
      <w:r>
        <w:t xml:space="preserve">“If an American company wanted to acquire a Brazilian brewery, it could pay twice what a domestic competitor offered, since over eight years the rate of return would be identical in both cases”</w:t>
      </w:r>
      <w:r>
        <w:t xml:space="preserve"> </w:t>
      </w:r>
      <w:r>
        <w:t xml:space="preserve">(Abdallah 2020, 136)</w:t>
      </w:r>
      <w:r>
        <w:t xml:space="preserve">. Since the 1980s, both Brahma and Antarctica had been approached by multinationals such as Anheuser-Busch, Miller, Kirin, Coca-Cola, and Pepsi interested in partnering with them; distribution agreements and joint ventures were repeatedly attempted, but these either failed to materialize or were curtailed by CADE, which at times demanded additional investment commitments that discouraged the foreign firms</w:t>
      </w:r>
      <w:r>
        <w:t xml:space="preserve"> </w:t>
      </w:r>
      <w:r>
        <w:t xml:space="preserve">(Abdallah 2020, 140)</w:t>
      </w:r>
      <w:r>
        <w:t xml:space="preserve">. Facing the prospect of eventual acquisition by one of these larger, better-capitalized foreign rivals, Brahma’s controllers — Jorge Paulo Lemann and Marcel Telles — instead pursued a different ambition: to become the world’s largest brewer, including through the acquisition of Anheuser-Busch itself</w:t>
      </w:r>
      <w:r>
        <w:t xml:space="preserve"> </w:t>
      </w:r>
      <w:r>
        <w:t xml:space="preserve">(Abdallah 2020, 148)</w:t>
      </w:r>
      <w:r>
        <w:t xml:space="preserve">. The alternative that emerged from informal conversations between Brahma’s and Antarctica’s leadership was to merge the country’s two largest brewers instead, in order to build a firm strong enough to expand abroad. As Antarctica’s Victorio De Marchi recalled of the conversations preceding the merger:</w:t>
      </w:r>
      <w:r>
        <w:t xml:space="preserve"> </w:t>
      </w:r>
      <w:r>
        <w:t xml:space="preserve">“should we leave the foreigners out, and think about building a company strong enough to secure ourselves domestically and allow us to grow abroad?”</w:t>
      </w:r>
      <w:r>
        <w:t xml:space="preserve"> </w:t>
      </w:r>
      <w:r>
        <w:t xml:space="preserve">(Abdallah 2020)</w:t>
      </w:r>
      <w:r>
        <w:t xml:space="preserve">.</w:t>
      </w:r>
    </w:p>
    <w:p>
      <w:pPr>
        <w:pStyle w:val="BodyText"/>
      </w:pPr>
      <w:r>
        <w:t xml:space="preserve">Its proponents announced the operation as essential for the creation of a</w:t>
      </w:r>
      <w:r>
        <w:t xml:space="preserve"> </w:t>
      </w:r>
      <w:r>
        <w:t xml:space="preserve">“green-and-yellow multinational”</w:t>
      </w:r>
      <w:r>
        <w:t xml:space="preserve"> </w:t>
      </w:r>
      <w:r>
        <w:t xml:space="preserve">capable of competing with global industry leaders, warning that failure to achieve sufficient scale would result in the denationalization of the sector. This framing resonated with political actors, who publicly endorsed the merger as part of a broader strategy to strengthen domestic firms in the face of international competition. The merger was in fact announced to the press from the Palácio da Alvorada, with President Cardoso present, following a meeting between the businessmen and the president</w:t>
      </w:r>
      <w:r>
        <w:t xml:space="preserve"> </w:t>
      </w:r>
      <w:r>
        <w:t xml:space="preserve">(Lo Prete 1999)</w:t>
      </w:r>
      <w:r>
        <w:t xml:space="preserve">; the new firm’s international ambitions were championed by Cardoso from the very start of the negotiations.</w:t>
      </w:r>
    </w:p>
    <w:p>
      <w:pPr>
        <w:pStyle w:val="BodyText"/>
      </w:pPr>
      <w:r>
        <w:t xml:space="preserve">Following the announcement of the merger in July 1999, CADE issued a precautionary measure suspending its implementation pending review. Technical bodies within the government, including the Secretary for Economic Monitoring, challenged the efficiency claims advanced by the firms, arguing that projected cost reductions were overstated and unlikely to benefit consumers. At the same time, debates over the definition of the relevant market reemerged, with the firms advocating for a broad definition encompassing all beverages, while critics insisted on focusing on the beer market, where concentration was extreme and exports remained minimal.</w:t>
      </w:r>
    </w:p>
    <w:p>
      <w:pPr>
        <w:pStyle w:val="BodyText"/>
      </w:pPr>
      <w:r>
        <w:t xml:space="preserve">Opposition to the merger was led by Kaiser, one of Ambev’s rival brewers,</w:t>
      </w:r>
      <w:r>
        <w:rPr>
          <w:rStyle w:val="FootnoteReference"/>
        </w:rPr>
        <w:footnoteReference w:id="14"/>
      </w:r>
      <w:r>
        <w:t xml:space="preserve"> </w:t>
      </w:r>
      <w:r>
        <w:t xml:space="preserve">which ran a series of media campaigns arguing that concentrating roughly two-thirds of the country’s beer production and sales in the new firm could lead to anticompetitive conduct, including price increases contrary to the national interest:</w:t>
      </w:r>
      <w:r>
        <w:t xml:space="preserve"> </w:t>
      </w:r>
      <w:r>
        <w:t xml:space="preserve">“Kaiser, enemy number one of the union, put out yet another campaign yesterday — the third — to prevent the association, which is under review by CADE… the brewer ran ads on radio and in newspapers to try to convince public opinion that the merger harms consumers’ interests, since it would bring about market concentration and, consequently, higher prices”</w:t>
      </w:r>
      <w:r>
        <w:t xml:space="preserve"> </w:t>
      </w:r>
      <w:r>
        <w:t xml:space="preserve">(Fernandes and Prates 2000)</w:t>
      </w:r>
      <w:r>
        <w:t xml:space="preserve">. Critics also argued that the operation amounted not to a merger but to Brahma absorbing Antarctica outright, creating a firm capable of eliminating competition and threatening the survival of medium and small rivals, with no significant efficiencies or logistical or technological innovations to benefit consumers, suppliers, or distributors. Kaiser further criticized Ambev for operating as a unified company even before CADE’s final ruling — a fait accompli meant to make the operation practically irreversible regardless of the agency’s eventual decision</w:t>
      </w:r>
      <w:r>
        <w:t xml:space="preserve"> </w:t>
      </w:r>
      <w:r>
        <w:t xml:space="preserve">(Cervejarias Kaiser Brasil Ltda. 1999, vol. 2, p. 49)</w:t>
      </w:r>
      <w:r>
        <w:t xml:space="preserve">.</w:t>
      </w:r>
    </w:p>
    <w:p>
      <w:pPr>
        <w:pStyle w:val="BodyText"/>
      </w:pPr>
      <w:r>
        <w:t xml:space="preserve">Despite these concerns, the executive branch strongly supported the merger. When CADE consulted the Ministry of Development on the merger’s relevance to the national economy, its Secretary of Industrial Policy, Hélio Mattar, submitted an opinion affirming that it was — a conclusion diametrically opposed to the one reached by CADE’s own Office of the Attorney (Procuradoria), which maintained that the operation did not meet this standard and noted that the ministry’s opinion, however informative, was not binding on the agency</w:t>
      </w:r>
      <w:r>
        <w:t xml:space="preserve"> </w:t>
      </w:r>
      <w:r>
        <w:t xml:space="preserve">(Brasil. Ministério da Justiça. Conselho Administrativo de Defesa Econômica. Procuradoria 2000, vol. 17, pp. 160-161)</w:t>
      </w:r>
      <w:r>
        <w:t xml:space="preserve">. Minister of Industrial Development Clóvis Carvalho, for instance, stated that he wanted to see a wave of mergers across several of the country’s largest industries — especially paper, steel, and petrochemicals — so that they could prosper in international markets, offering up to three billion reais (roughly US$1.7 billion) from the National Bank for Economic and Social Development (BNDES) to finance such deals</w:t>
      </w:r>
      <w:r>
        <w:t xml:space="preserve"> </w:t>
      </w:r>
      <w:r>
        <w:t xml:space="preserve">(The Economist 1999)</w:t>
      </w:r>
      <w:r>
        <w:t xml:space="preserve">. Public statements by President Cardoso suggested a pragmatic acceptance of market concentration. In an interview with the Jornal do Brasil, Cardoso addressed the merger directly, arguing that Brazilian firms needed to restructure to compete in a more open global economy; asked about the possibility of a</w:t>
      </w:r>
      <w:r>
        <w:t xml:space="preserve"> </w:t>
      </w:r>
      <w:r>
        <w:t xml:space="preserve">“monopoly”</w:t>
      </w:r>
      <w:r>
        <w:t xml:space="preserve"> </w:t>
      </w:r>
      <w:r>
        <w:t xml:space="preserve">forming with the merger, he replied:</w:t>
      </w:r>
      <w:r>
        <w:t xml:space="preserve"> </w:t>
      </w:r>
      <w:r>
        <w:t xml:space="preserve">“But the world today operates in terms of oligopoly. … What is Coca-Cola? How will they compete, later on, with Coca-Cola, if they are not strong here? Isn’t that so? That is the concept. You can no longer think in terms of the domestic market. The market is internationalized. So you have to look at whether there are competitors in the sector or not […] I don’t even want to anticipate whether this will be legal or not [referring to CADE]. Let’s discuss it. I am telling you what the global trend is: mega-mergers. That is, we will need Brazilian multinationals”</w:t>
      </w:r>
      <w:r>
        <w:t xml:space="preserve"> </w:t>
      </w:r>
      <w:r>
        <w:t xml:space="preserve">(Abdallah 2020, 170)</w:t>
      </w:r>
      <w:r>
        <w:t xml:space="preserve">.</w:t>
      </w:r>
    </w:p>
    <w:p>
      <w:pPr>
        <w:pStyle w:val="BodyText"/>
      </w:pPr>
      <w:r>
        <w:t xml:space="preserve">Press, congressional, and government pressure on CADE was intense throughout the proceeding, as former counselors later recounted in detail. Ruy Lima, the only counselor to vote against the merger, recalled that CADE was pressured by the government to expedite the case toward a favorable outcome:</w:t>
      </w:r>
      <w:r>
        <w:t xml:space="preserve"> </w:t>
      </w:r>
      <w:r>
        <w:t xml:space="preserve">“The Ambev case was one of CADE’s biggest cases, mostly because of the media attention generated by the applicants themselves… There was a political dimension to it; the government applied a great deal of pressure — calls from ministers, from the leader of the government’s party in Congress — all of it landing on CADE’s president, the most visible figure”</w:t>
      </w:r>
      <w:r>
        <w:t xml:space="preserve"> </w:t>
      </w:r>
      <w:r>
        <w:t xml:space="preserve">(Dutra 2009, 101–3)</w:t>
      </w:r>
      <w:r>
        <w:t xml:space="preserve">.</w:t>
      </w:r>
    </w:p>
    <w:p>
      <w:pPr>
        <w:pStyle w:val="BodyText"/>
      </w:pPr>
      <w:r>
        <w:t xml:space="preserve">In March 2000, CADE approved the merger subject to a set of conditions formalized in a Performance Commitment Term. These conditions included divestments, measures to ensure access to distribution networks, and commitments to maintain employment levels. While these remedies were intended to address competition concerns, they also reflected a broader acceptance of the merger’s underlying rationale.</w:t>
      </w:r>
    </w:p>
    <w:p>
      <w:pPr>
        <w:pStyle w:val="BodyText"/>
      </w:pPr>
      <w:r>
        <w:t xml:space="preserve">The Ambev case thus illustrates the stabilization of the interpretive shifts that had emerged in the Gerdau case. The ambiguity surrounding market definition and efficiency was no longer a source of acute conflict but had become part of the routine operation of the competition regime. Antitrust policy, in this context, functioned as a mechanism for enabling consolidation while maintaining the formal language of competition and consumer welfare.</w:t>
      </w:r>
    </w:p>
    <w:bookmarkEnd w:id="15"/>
    <w:bookmarkStart w:id="16" w:name="Xbcb1ae330524318d3243a7c5ac034e7b24920f4"/>
    <w:p>
      <w:pPr>
        <w:pStyle w:val="Heading2"/>
      </w:pPr>
      <w:r>
        <w:t xml:space="preserve">Discussion: Institutional Conversion and the Reconfiguration of State Intervention</w:t>
      </w:r>
    </w:p>
    <w:p>
      <w:pPr>
        <w:pStyle w:val="FirstParagraph"/>
      </w:pPr>
      <w:r>
        <w:t xml:space="preserve">The comparative analysis of the Gerdau and Ambev cases reveals a process of institutional conversion in which the meaning and application of antitrust policy were transformed without formal legislative change. Central to this process was the strategic use of ambiguity in key legal concepts, particularly the definition of the relevant market. By expanding the scope of the market to include international competition, actors were able to reconcile high levels of domestic concentration with the requirements of competition law.</w:t>
      </w:r>
    </w:p>
    <w:p>
      <w:pPr>
        <w:pStyle w:val="BodyText"/>
      </w:pPr>
      <w:r>
        <w:t xml:space="preserve">This reinterpretation was facilitated by political intervention and institutional change, including the reconfiguration of CADE’s composition and the increasing prominence of economic expertise aligned with transaction-cost approaches. Over time, these changes contributed to the normalization of a more permissive stance toward mergers, in which concerns about market structure were balanced against considerations of efficiency and competitiveness.</w:t>
      </w:r>
      <w:r>
        <w:t xml:space="preserve"> </w:t>
      </w:r>
    </w:p>
    <w:p>
      <w:pPr>
        <w:pStyle w:val="BodyText"/>
      </w:pPr>
      <w:r>
        <w:t xml:space="preserve">The result was a form of industrial policy that operated through passive regulatory means and was justified in covert terms. While the government continued to reject industrial policy in its discourse, it enabled the consolidation of domestic firms and their expansion into international markets. This suggests that liberalization does not necessarily entail a retreat of the state but may instead involve a reconfiguration of its modes of intervention.</w:t>
      </w:r>
    </w:p>
    <w:bookmarkEnd w:id="16"/>
    <w:bookmarkStart w:id="17" w:name="conclusion"/>
    <w:p>
      <w:pPr>
        <w:pStyle w:val="Heading2"/>
      </w:pPr>
      <w:r>
        <w:t xml:space="preserve">Conclusion</w:t>
      </w:r>
    </w:p>
    <w:p>
      <w:pPr>
        <w:pStyle w:val="FirstParagraph"/>
      </w:pPr>
      <w:r>
        <w:t xml:space="preserve">This paper has argued that antitrust policy in Brazil during the 1990s functioned as a form of covert industrial policy implemented through passive regulatory means. By enabling firm consolidation through the reinterpretation of legal concepts and the selective enforcement of competition law, the state fostered the emergence of nationally rooted multinational firms without resorting to traditional industrial policy tools.</w:t>
      </w:r>
    </w:p>
    <w:p>
      <w:pPr>
        <w:pStyle w:val="BodyText"/>
      </w:pPr>
      <w:r>
        <w:t xml:space="preserve">Facing severe fiscal constraints and economic opening, with foreign capital entering numerous industrial sectors, government actors — including the Presidency — engaged in a loosening of antitrust rules to permit mergers and acquisitions that produced firms with substantial market power, on the grounds of supporting domestic firms and averting the denationalization of entire sectors of the economy.</w:t>
      </w:r>
    </w:p>
    <w:p>
      <w:pPr>
        <w:pStyle w:val="BodyText"/>
      </w:pPr>
      <w:r>
        <w:t xml:space="preserve">These findings have important implications for the study of industrial policy and competition in international political economy. They highlight the need to move beyond dichotomous frameworks that oppose state intervention and market discipline and to consider the ways in which regulatory regimes can be repurposed to achieve developmental objectives. They also suggest that contemporary debates about the relationship between antitrust and industrial policy, particularly in advanced economies, may benefit from greater attention to the covert and passive forms that such policies can take.</w:t>
      </w:r>
    </w:p>
    <w:p>
      <w:pPr>
        <w:pStyle w:val="BodyText"/>
      </w:pPr>
      <w:r>
        <w:t xml:space="preserve">By disaggregating discourse, instruments, and effects, the paper provides a framework for analyzing these dynamics and contributes to a more nuanced understanding of the role of the state in shaping market outcomes under conditions of liberalization.</w:t>
      </w:r>
    </w:p>
    <w:bookmarkEnd w:id="17"/>
    <w:bookmarkStart w:id="18" w:name="declaration-of-generative-ai-use"/>
    <w:p>
      <w:pPr>
        <w:pStyle w:val="Heading2"/>
      </w:pPr>
      <w:r>
        <w:t xml:space="preserve">Declaration of Generative AI Use</w:t>
      </w:r>
    </w:p>
    <w:p>
      <w:pPr>
        <w:pStyle w:val="FirstParagraph"/>
      </w:pPr>
      <w:r>
        <w:t xml:space="preserve">The authors report that generative AI tools were used in two limited and clearly bounded ways. In the research process, the authors used NotebookLM to assist with the organization of a large volume of primary-source material (CADE administrative rulings, technical opinions, corporate statements, and media coverage) — specifically to reconstruct procedural timelines, identify recurring argumentative patterns, and compare the positions of different actors across documents. This use was strictly supportive; all analytical interpretation and conclusions are the authors’ own. In the manuscript preparation process, the authors used Claude (Anthropic) for mechanical and organizational tasks under direct author supervision: converting the original manuscript from Word to Quarto Markdown format, merging author-drafted Portuguese-language text into the existing English manuscript on a section-by-section basis, and verifying bibliographic citation keys against the authors’ Zotero reference library. No AI-generated analytical content was incorporated without direct authorial review.</w:t>
      </w:r>
    </w:p>
    <w:bookmarkEnd w:id="18"/>
    <w:bookmarkStart w:id="60" w:name="references"/>
    <w:p>
      <w:pPr>
        <w:pStyle w:val="Heading2"/>
      </w:pPr>
      <w:r>
        <w:t xml:space="preserve">References</w:t>
      </w:r>
    </w:p>
    <w:bookmarkStart w:id="59" w:name="refs"/>
    <w:bookmarkStart w:id="19" w:name="ref-Abdallah2020"/>
    <w:p>
      <w:pPr>
        <w:pStyle w:val="Bibliography"/>
      </w:pPr>
      <w:r>
        <w:t xml:space="preserve">Abdallah, Ariane. 2020.</w:t>
      </w:r>
      <w:r>
        <w:t xml:space="preserve"> </w:t>
      </w:r>
      <w:r>
        <w:rPr>
          <w:i/>
          <w:iCs/>
        </w:rPr>
        <w:t xml:space="preserve">De Um Gole Só:</w:t>
      </w:r>
      <w:r>
        <w:rPr>
          <w:i/>
          <w:iCs/>
        </w:rPr>
        <w:t xml:space="preserve"> </w:t>
      </w:r>
      <w:r>
        <w:rPr>
          <w:i/>
          <w:iCs/>
        </w:rPr>
        <w:t xml:space="preserve">A</w:t>
      </w:r>
      <w:r>
        <w:rPr>
          <w:i/>
          <w:iCs/>
        </w:rPr>
        <w:t xml:space="preserve"> </w:t>
      </w:r>
      <w:r>
        <w:rPr>
          <w:i/>
          <w:iCs/>
        </w:rPr>
        <w:t xml:space="preserve">História Da</w:t>
      </w:r>
      <w:r>
        <w:rPr>
          <w:i/>
          <w:iCs/>
        </w:rPr>
        <w:t xml:space="preserve"> </w:t>
      </w:r>
      <w:r>
        <w:rPr>
          <w:i/>
          <w:iCs/>
        </w:rPr>
        <w:t xml:space="preserve">Ambev</w:t>
      </w:r>
      <w:r>
        <w:rPr>
          <w:i/>
          <w:iCs/>
        </w:rPr>
        <w:t xml:space="preserve"> </w:t>
      </w:r>
      <w:r>
        <w:rPr>
          <w:i/>
          <w:iCs/>
        </w:rPr>
        <w:t xml:space="preserve">e a Criação Da Maior Cervejaria Do Mundo</w:t>
      </w:r>
      <w:r>
        <w:t xml:space="preserve">. Portfolio-Penguin.</w:t>
      </w:r>
    </w:p>
    <w:bookmarkEnd w:id="19"/>
    <w:bookmarkStart w:id="21" w:name="ref-Berk2009"/>
    <w:p>
      <w:pPr>
        <w:pStyle w:val="Bibliography"/>
      </w:pPr>
      <w:r>
        <w:t xml:space="preserve">Berk, Gerald. 2009.</w:t>
      </w:r>
      <w:r>
        <w:t xml:space="preserve"> </w:t>
      </w:r>
      <w:r>
        <w:rPr>
          <w:i/>
          <w:iCs/>
        </w:rPr>
        <w:t xml:space="preserve">Louis</w:t>
      </w:r>
      <w:r>
        <w:rPr>
          <w:i/>
          <w:iCs/>
        </w:rPr>
        <w:t xml:space="preserve"> </w:t>
      </w:r>
      <w:r>
        <w:rPr>
          <w:i/>
          <w:iCs/>
        </w:rPr>
        <w:t xml:space="preserve">D</w:t>
      </w:r>
      <w:r>
        <w:rPr>
          <w:i/>
          <w:iCs/>
        </w:rPr>
        <w:t xml:space="preserve">.</w:t>
      </w:r>
      <w:r>
        <w:rPr>
          <w:i/>
          <w:iCs/>
        </w:rPr>
        <w:t xml:space="preserve"> </w:t>
      </w:r>
      <w:r>
        <w:rPr>
          <w:i/>
          <w:iCs/>
        </w:rPr>
        <w:t xml:space="preserve">Brandeis</w:t>
      </w:r>
      <w:r>
        <w:rPr>
          <w:i/>
          <w:iCs/>
        </w:rPr>
        <w:t xml:space="preserve"> </w:t>
      </w:r>
      <w:r>
        <w:rPr>
          <w:i/>
          <w:iCs/>
        </w:rPr>
        <w:t xml:space="preserve">and the Making of Regulated Competition, 1900-1932</w:t>
      </w:r>
      <w:r>
        <w:t xml:space="preserve">. 1st ed. Cambridge University Press.</w:t>
      </w:r>
      <w:r>
        <w:t xml:space="preserve"> </w:t>
      </w:r>
      <w:hyperlink r:id="rId20">
        <w:r>
          <w:rPr>
            <w:rStyle w:val="Hyperlink"/>
          </w:rPr>
          <w:t xml:space="preserve">https://doi.org/10.1017/CBO9780511581205</w:t>
        </w:r>
      </w:hyperlink>
      <w:r>
        <w:t xml:space="preserve">.</w:t>
      </w:r>
    </w:p>
    <w:bookmarkEnd w:id="21"/>
    <w:bookmarkStart w:id="22" w:name="ref-Bork1978"/>
    <w:p>
      <w:pPr>
        <w:pStyle w:val="Bibliography"/>
      </w:pPr>
      <w:r>
        <w:t xml:space="preserve">Bork, Robert H. 1978.</w:t>
      </w:r>
      <w:r>
        <w:t xml:space="preserve"> </w:t>
      </w:r>
      <w:r>
        <w:rPr>
          <w:i/>
          <w:iCs/>
        </w:rPr>
        <w:t xml:space="preserve">The Antitrust Paradox: A Policy at War with Itself</w:t>
      </w:r>
      <w:r>
        <w:t xml:space="preserve">. Basic Books.</w:t>
      </w:r>
    </w:p>
    <w:bookmarkEnd w:id="22"/>
    <w:bookmarkStart w:id="24" w:name="ref-Brasil1994"/>
    <w:p>
      <w:pPr>
        <w:pStyle w:val="Bibliography"/>
      </w:pPr>
      <w:r>
        <w:t xml:space="preserve">Brasil. 1994.</w:t>
      </w:r>
      <w:r>
        <w:t xml:space="preserve"> </w:t>
      </w:r>
      <w:r>
        <w:rPr>
          <w:i/>
          <w:iCs/>
        </w:rPr>
        <w:t xml:space="preserve">Lei Nº 8.884, de 11 de Junho de 1994:</w:t>
      </w:r>
      <w:r>
        <w:rPr>
          <w:i/>
          <w:iCs/>
        </w:rPr>
        <w:t xml:space="preserve"> </w:t>
      </w:r>
      <w:r>
        <w:rPr>
          <w:i/>
          <w:iCs/>
        </w:rPr>
        <w:t xml:space="preserve">Dispõe</w:t>
      </w:r>
      <w:r>
        <w:rPr>
          <w:i/>
          <w:iCs/>
        </w:rPr>
        <w:t xml:space="preserve"> </w:t>
      </w:r>
      <w:r>
        <w:rPr>
          <w:i/>
          <w:iCs/>
        </w:rPr>
        <w:t xml:space="preserve">Sobre a Prevenção e a Repressão Às Infrações Contra a Ordem Econômica, Orientada Pelos Ditames Constitucionais de Liberdade de Iniciativa, Livre Concorrência, Função Social Da Propriedade, Defesa Dos Consumidores e Repressão Ao Abuso Do Poder Econômico</w:t>
      </w:r>
      <w:r>
        <w:t xml:space="preserve">. Diário Oficial da União.</w:t>
      </w:r>
      <w:r>
        <w:t xml:space="preserve"> </w:t>
      </w:r>
      <w:hyperlink r:id="rId23">
        <w:r>
          <w:rPr>
            <w:rStyle w:val="Hyperlink"/>
          </w:rPr>
          <w:t xml:space="preserve">https://www.planalto.gov.br/ccivil_03/leis/l8884.htm</w:t>
        </w:r>
      </w:hyperlink>
      <w:r>
        <w:t xml:space="preserve">.</w:t>
      </w:r>
    </w:p>
    <w:bookmarkEnd w:id="24"/>
    <w:bookmarkStart w:id="25" w:name="ref-CADE1995-AC16-1994"/>
    <w:p>
      <w:pPr>
        <w:pStyle w:val="Bibliography"/>
      </w:pPr>
      <w:r>
        <w:t xml:space="preserve">Brasil. Ministério da Justiça. Conselho Administrativo de Defesa Econômica. 1995.</w:t>
      </w:r>
      <w:r>
        <w:t xml:space="preserve"> </w:t>
      </w:r>
      <w:r>
        <w:rPr>
          <w:i/>
          <w:iCs/>
        </w:rPr>
        <w:t xml:space="preserve">Ato de</w:t>
      </w:r>
      <w:r>
        <w:rPr>
          <w:i/>
          <w:iCs/>
        </w:rPr>
        <w:t xml:space="preserve"> </w:t>
      </w:r>
      <w:r>
        <w:rPr>
          <w:i/>
          <w:iCs/>
        </w:rPr>
        <w:t xml:space="preserve">Concentração</w:t>
      </w:r>
      <w:r>
        <w:rPr>
          <w:i/>
          <w:iCs/>
        </w:rPr>
        <w:t xml:space="preserve"> </w:t>
      </w:r>
      <w:r>
        <w:rPr>
          <w:i/>
          <w:iCs/>
        </w:rPr>
        <w:t xml:space="preserve">Nº 16/1994 —</w:t>
      </w:r>
      <w:r>
        <w:rPr>
          <w:i/>
          <w:iCs/>
        </w:rPr>
        <w:t xml:space="preserve"> </w:t>
      </w:r>
      <w:r>
        <w:rPr>
          <w:i/>
          <w:iCs/>
        </w:rPr>
        <w:t xml:space="preserve">Requerente</w:t>
      </w:r>
      <w:r>
        <w:rPr>
          <w:i/>
          <w:iCs/>
        </w:rPr>
        <w:t xml:space="preserve">:</w:t>
      </w:r>
      <w:r>
        <w:rPr>
          <w:i/>
          <w:iCs/>
        </w:rPr>
        <w:t xml:space="preserve"> </w:t>
      </w:r>
      <w:r>
        <w:rPr>
          <w:i/>
          <w:iCs/>
        </w:rPr>
        <w:t xml:space="preserve">Siderúrgica Laisa S</w:t>
      </w:r>
      <w:r>
        <w:rPr>
          <w:i/>
          <w:iCs/>
        </w:rPr>
        <w:t xml:space="preserve">.</w:t>
      </w:r>
      <w:r>
        <w:rPr>
          <w:i/>
          <w:iCs/>
        </w:rPr>
        <w:t xml:space="preserve">A</w:t>
      </w:r>
      <w:r>
        <w:rPr>
          <w:i/>
          <w:iCs/>
        </w:rPr>
        <w:t xml:space="preserve">. (</w:t>
      </w:r>
      <w:r>
        <w:rPr>
          <w:i/>
          <w:iCs/>
        </w:rPr>
        <w:t xml:space="preserve">Grupo Gerdau</w:t>
      </w:r>
      <w:r>
        <w:rPr>
          <w:i/>
          <w:iCs/>
        </w:rPr>
        <w:t xml:space="preserve">):</w:t>
      </w:r>
      <w:r>
        <w:rPr>
          <w:i/>
          <w:iCs/>
        </w:rPr>
        <w:t xml:space="preserve"> </w:t>
      </w:r>
      <w:r>
        <w:rPr>
          <w:i/>
          <w:iCs/>
        </w:rPr>
        <w:t xml:space="preserve">Relatório</w:t>
      </w:r>
      <w:r>
        <w:rPr>
          <w:i/>
          <w:iCs/>
        </w:rPr>
        <w:t xml:space="preserve"> </w:t>
      </w:r>
      <w:r>
        <w:rPr>
          <w:i/>
          <w:iCs/>
        </w:rPr>
        <w:t xml:space="preserve">e Voto Do</w:t>
      </w:r>
      <w:r>
        <w:rPr>
          <w:i/>
          <w:iCs/>
        </w:rPr>
        <w:t xml:space="preserve"> </w:t>
      </w:r>
      <w:r>
        <w:rPr>
          <w:i/>
          <w:iCs/>
        </w:rPr>
        <w:t xml:space="preserve">Conselheiro-Relator José Matias Pereira</w:t>
      </w:r>
      <w:r>
        <w:rPr>
          <w:i/>
          <w:iCs/>
        </w:rPr>
        <w:t xml:space="preserve"> </w:t>
      </w:r>
      <w:r>
        <w:rPr>
          <w:i/>
          <w:iCs/>
        </w:rPr>
        <w:t xml:space="preserve">No</w:t>
      </w:r>
      <w:r>
        <w:rPr>
          <w:i/>
          <w:iCs/>
        </w:rPr>
        <w:t xml:space="preserve"> </w:t>
      </w:r>
      <w:r>
        <w:rPr>
          <w:i/>
          <w:iCs/>
        </w:rPr>
        <w:t xml:space="preserve">Pedido</w:t>
      </w:r>
      <w:r>
        <w:rPr>
          <w:i/>
          <w:iCs/>
        </w:rPr>
        <w:t xml:space="preserve"> </w:t>
      </w:r>
      <w:r>
        <w:rPr>
          <w:i/>
          <w:iCs/>
        </w:rPr>
        <w:t xml:space="preserve">de</w:t>
      </w:r>
      <w:r>
        <w:rPr>
          <w:i/>
          <w:iCs/>
        </w:rPr>
        <w:t xml:space="preserve"> </w:t>
      </w:r>
      <w:r>
        <w:rPr>
          <w:i/>
          <w:iCs/>
        </w:rPr>
        <w:t xml:space="preserve">Reapreciação</w:t>
      </w:r>
      <w:r>
        <w:t xml:space="preserve">. Autos do Ato de Concentração nº 16/1994, vol. [VERIFICAR], fls. [VERIFICAR].</w:t>
      </w:r>
    </w:p>
    <w:bookmarkEnd w:id="25"/>
    <w:bookmarkStart w:id="26" w:name="ref-CADE2000-Procuradoria-Parecer"/>
    <w:p>
      <w:pPr>
        <w:pStyle w:val="Bibliography"/>
      </w:pPr>
      <w:r>
        <w:t xml:space="preserve">Brasil. Ministério da Justiça. Conselho Administrativo de Defesa Econômica. Procuradoria. 2000.</w:t>
      </w:r>
      <w:r>
        <w:t xml:space="preserve"> </w:t>
      </w:r>
      <w:r>
        <w:rPr>
          <w:i/>
          <w:iCs/>
        </w:rPr>
        <w:t xml:space="preserve">Ato de</w:t>
      </w:r>
      <w:r>
        <w:rPr>
          <w:i/>
          <w:iCs/>
        </w:rPr>
        <w:t xml:space="preserve"> </w:t>
      </w:r>
      <w:r>
        <w:rPr>
          <w:i/>
          <w:iCs/>
        </w:rPr>
        <w:t xml:space="preserve">Concentração Nº</w:t>
      </w:r>
      <w:r>
        <w:rPr>
          <w:i/>
          <w:iCs/>
        </w:rPr>
        <w:t xml:space="preserve"> </w:t>
      </w:r>
      <w:r>
        <w:rPr>
          <w:i/>
          <w:iCs/>
        </w:rPr>
        <w:t xml:space="preserve">08012.005846/1999-12 —</w:t>
      </w:r>
      <w:r>
        <w:rPr>
          <w:i/>
          <w:iCs/>
        </w:rPr>
        <w:t xml:space="preserve"> </w:t>
      </w:r>
      <w:r>
        <w:rPr>
          <w:i/>
          <w:iCs/>
        </w:rPr>
        <w:t xml:space="preserve">Parecer</w:t>
      </w:r>
      <w:r>
        <w:rPr>
          <w:i/>
          <w:iCs/>
        </w:rPr>
        <w:t xml:space="preserve"> </w:t>
      </w:r>
      <w:r>
        <w:rPr>
          <w:i/>
          <w:iCs/>
        </w:rPr>
        <w:t xml:space="preserve">Da</w:t>
      </w:r>
      <w:r>
        <w:rPr>
          <w:i/>
          <w:iCs/>
        </w:rPr>
        <w:t xml:space="preserve"> </w:t>
      </w:r>
      <w:r>
        <w:rPr>
          <w:i/>
          <w:iCs/>
        </w:rPr>
        <w:t xml:space="preserve">Procuradoria</w:t>
      </w:r>
      <w:r>
        <w:rPr>
          <w:i/>
          <w:iCs/>
        </w:rPr>
        <w:t xml:space="preserve"> </w:t>
      </w:r>
      <w:r>
        <w:rPr>
          <w:i/>
          <w:iCs/>
        </w:rPr>
        <w:t xml:space="preserve">Do</w:t>
      </w:r>
      <w:r>
        <w:rPr>
          <w:i/>
          <w:iCs/>
        </w:rPr>
        <w:t xml:space="preserve"> </w:t>
      </w:r>
      <w:r>
        <w:rPr>
          <w:i/>
          <w:iCs/>
        </w:rPr>
        <w:t xml:space="preserve">CADE</w:t>
      </w:r>
      <w:r>
        <w:rPr>
          <w:i/>
          <w:iCs/>
        </w:rPr>
        <w:t xml:space="preserve"> </w:t>
      </w:r>
      <w:r>
        <w:rPr>
          <w:i/>
          <w:iCs/>
        </w:rPr>
        <w:t xml:space="preserve">Sobre a Consulta Ao</w:t>
      </w:r>
      <w:r>
        <w:rPr>
          <w:i/>
          <w:iCs/>
        </w:rPr>
        <w:t xml:space="preserve"> </w:t>
      </w:r>
      <w:r>
        <w:rPr>
          <w:i/>
          <w:iCs/>
        </w:rPr>
        <w:t xml:space="preserve">Ministério</w:t>
      </w:r>
      <w:r>
        <w:rPr>
          <w:i/>
          <w:iCs/>
        </w:rPr>
        <w:t xml:space="preserve"> </w:t>
      </w:r>
      <w:r>
        <w:rPr>
          <w:i/>
          <w:iCs/>
        </w:rPr>
        <w:t xml:space="preserve">Do</w:t>
      </w:r>
      <w:r>
        <w:rPr>
          <w:i/>
          <w:iCs/>
        </w:rPr>
        <w:t xml:space="preserve"> </w:t>
      </w:r>
      <w:r>
        <w:rPr>
          <w:i/>
          <w:iCs/>
        </w:rPr>
        <w:t xml:space="preserve">Desenvolvimento</w:t>
      </w:r>
      <w:r>
        <w:rPr>
          <w:i/>
          <w:iCs/>
        </w:rPr>
        <w:t xml:space="preserve"> </w:t>
      </w:r>
      <w:r>
        <w:rPr>
          <w:i/>
          <w:iCs/>
        </w:rPr>
        <w:t xml:space="preserve">Quanto à Relevância Da Operação Para a Economia Nacional</w:t>
      </w:r>
      <w:r>
        <w:t xml:space="preserve">. Autos do Ato de Concentração nº 08012.005846/1999-12, vol. 17, pp. 160-161 (itens 619-624 do parecer).</w:t>
      </w:r>
    </w:p>
    <w:bookmarkEnd w:id="26"/>
    <w:bookmarkStart w:id="27" w:name="ref-CADE1999-Kaiser-Impugnacao"/>
    <w:p>
      <w:pPr>
        <w:pStyle w:val="Bibliography"/>
      </w:pPr>
      <w:r>
        <w:t xml:space="preserve">Cervejarias Kaiser Brasil Ltda. 1999.</w:t>
      </w:r>
      <w:r>
        <w:t xml:space="preserve"> </w:t>
      </w:r>
      <w:r>
        <w:rPr>
          <w:i/>
          <w:iCs/>
        </w:rPr>
        <w:t xml:space="preserve">Ato de</w:t>
      </w:r>
      <w:r>
        <w:rPr>
          <w:i/>
          <w:iCs/>
        </w:rPr>
        <w:t xml:space="preserve"> </w:t>
      </w:r>
      <w:r>
        <w:rPr>
          <w:i/>
          <w:iCs/>
        </w:rPr>
        <w:t xml:space="preserve">Concentração Nº</w:t>
      </w:r>
      <w:r>
        <w:rPr>
          <w:i/>
          <w:iCs/>
        </w:rPr>
        <w:t xml:space="preserve"> </w:t>
      </w:r>
      <w:r>
        <w:rPr>
          <w:i/>
          <w:iCs/>
        </w:rPr>
        <w:t xml:space="preserve">08012.005846/1999-12 —</w:t>
      </w:r>
      <w:r>
        <w:rPr>
          <w:i/>
          <w:iCs/>
        </w:rPr>
        <w:t xml:space="preserve"> </w:t>
      </w:r>
      <w:r>
        <w:rPr>
          <w:i/>
          <w:iCs/>
        </w:rPr>
        <w:t xml:space="preserve">Impugnação</w:t>
      </w:r>
      <w:r>
        <w:rPr>
          <w:i/>
          <w:iCs/>
        </w:rPr>
        <w:t xml:space="preserve"> </w:t>
      </w:r>
      <w:r>
        <w:rPr>
          <w:i/>
          <w:iCs/>
        </w:rPr>
        <w:t xml:space="preserve">Apresentada Pela</w:t>
      </w:r>
      <w:r>
        <w:rPr>
          <w:i/>
          <w:iCs/>
        </w:rPr>
        <w:t xml:space="preserve"> </w:t>
      </w:r>
      <w:r>
        <w:rPr>
          <w:i/>
          <w:iCs/>
        </w:rPr>
        <w:t xml:space="preserve">Cervejarias Kaiser Brasil</w:t>
      </w:r>
      <w:r>
        <w:rPr>
          <w:i/>
          <w:iCs/>
        </w:rPr>
        <w:t xml:space="preserve"> </w:t>
      </w:r>
      <w:r>
        <w:rPr>
          <w:i/>
          <w:iCs/>
        </w:rPr>
        <w:t xml:space="preserve">Ltda.</w:t>
      </w:r>
      <w:r>
        <w:rPr>
          <w:i/>
          <w:iCs/>
        </w:rPr>
        <w:t xml:space="preserve"> </w:t>
      </w:r>
      <w:r>
        <w:rPr>
          <w:i/>
          <w:iCs/>
        </w:rPr>
        <w:t xml:space="preserve">Ao</w:t>
      </w:r>
      <w:r>
        <w:rPr>
          <w:i/>
          <w:iCs/>
        </w:rPr>
        <w:t xml:space="preserve"> </w:t>
      </w:r>
      <w:r>
        <w:rPr>
          <w:i/>
          <w:iCs/>
        </w:rPr>
        <w:t xml:space="preserve">Ato de</w:t>
      </w:r>
      <w:r>
        <w:rPr>
          <w:i/>
          <w:iCs/>
        </w:rPr>
        <w:t xml:space="preserve"> </w:t>
      </w:r>
      <w:r>
        <w:rPr>
          <w:i/>
          <w:iCs/>
        </w:rPr>
        <w:t xml:space="preserve">Concentração</w:t>
      </w:r>
      <w:r>
        <w:rPr>
          <w:i/>
          <w:iCs/>
        </w:rPr>
        <w:t xml:space="preserve"> </w:t>
      </w:r>
      <w:r>
        <w:rPr>
          <w:i/>
          <w:iCs/>
        </w:rPr>
        <w:t xml:space="preserve">(</w:t>
      </w:r>
      <w:r>
        <w:rPr>
          <w:i/>
          <w:iCs/>
        </w:rPr>
        <w:t xml:space="preserve">Fusão Brahma-Antarctica</w:t>
      </w:r>
      <w:r>
        <w:rPr>
          <w:i/>
          <w:iCs/>
        </w:rPr>
        <w:t xml:space="preserve">)</w:t>
      </w:r>
      <w:r>
        <w:t xml:space="preserve">. Autos do Ato de Concentração nº 08012.005846/1999-12, vol. 2, fls. 49.</w:t>
      </w:r>
    </w:p>
    <w:bookmarkEnd w:id="27"/>
    <w:bookmarkStart w:id="28" w:name="ref-Dobbin1994"/>
    <w:p>
      <w:pPr>
        <w:pStyle w:val="Bibliography"/>
      </w:pPr>
      <w:r>
        <w:t xml:space="preserve">Dobbin, Frank. 1994.</w:t>
      </w:r>
      <w:r>
        <w:t xml:space="preserve"> </w:t>
      </w:r>
      <w:r>
        <w:rPr>
          <w:i/>
          <w:iCs/>
        </w:rPr>
        <w:t xml:space="preserve">Forging Industrial Policy: The</w:t>
      </w:r>
      <w:r>
        <w:rPr>
          <w:i/>
          <w:iCs/>
        </w:rPr>
        <w:t xml:space="preserve"> </w:t>
      </w:r>
      <w:r>
        <w:rPr>
          <w:i/>
          <w:iCs/>
        </w:rPr>
        <w:t xml:space="preserve">United States</w:t>
      </w:r>
      <w:r>
        <w:rPr>
          <w:i/>
          <w:iCs/>
        </w:rPr>
        <w:t xml:space="preserve">,</w:t>
      </w:r>
      <w:r>
        <w:rPr>
          <w:i/>
          <w:iCs/>
        </w:rPr>
        <w:t xml:space="preserve"> </w:t>
      </w:r>
      <w:r>
        <w:rPr>
          <w:i/>
          <w:iCs/>
        </w:rPr>
        <w:t xml:space="preserve">Britain</w:t>
      </w:r>
      <w:r>
        <w:rPr>
          <w:i/>
          <w:iCs/>
        </w:rPr>
        <w:t xml:space="preserve"> </w:t>
      </w:r>
      <w:r>
        <w:rPr>
          <w:i/>
          <w:iCs/>
        </w:rPr>
        <w:t xml:space="preserve">and</w:t>
      </w:r>
      <w:r>
        <w:rPr>
          <w:i/>
          <w:iCs/>
        </w:rPr>
        <w:t xml:space="preserve"> </w:t>
      </w:r>
      <w:r>
        <w:rPr>
          <w:i/>
          <w:iCs/>
        </w:rPr>
        <w:t xml:space="preserve">France</w:t>
      </w:r>
      <w:r>
        <w:rPr>
          <w:i/>
          <w:iCs/>
        </w:rPr>
        <w:t xml:space="preserve"> </w:t>
      </w:r>
      <w:r>
        <w:rPr>
          <w:i/>
          <w:iCs/>
        </w:rPr>
        <w:t xml:space="preserve">in the Railway Age</w:t>
      </w:r>
      <w:r>
        <w:t xml:space="preserve">. Transferred to digital print. Cambridge Univ. Press.</w:t>
      </w:r>
    </w:p>
    <w:bookmarkEnd w:id="28"/>
    <w:bookmarkStart w:id="29" w:name="ref-Dutra2009"/>
    <w:p>
      <w:pPr>
        <w:pStyle w:val="Bibliography"/>
      </w:pPr>
      <w:r>
        <w:t xml:space="preserve">Dutra, Pedro. 2009.</w:t>
      </w:r>
      <w:r>
        <w:t xml:space="preserve"> </w:t>
      </w:r>
      <w:r>
        <w:rPr>
          <w:i/>
          <w:iCs/>
        </w:rPr>
        <w:t xml:space="preserve">Conversando com o CADE</w:t>
      </w:r>
      <w:r>
        <w:t xml:space="preserve">. Editora Singular.</w:t>
      </w:r>
    </w:p>
    <w:bookmarkEnd w:id="29"/>
    <w:bookmarkStart w:id="31" w:name="ref-FernandesPrates2000"/>
    <w:p>
      <w:pPr>
        <w:pStyle w:val="Bibliography"/>
      </w:pPr>
      <w:r>
        <w:t xml:space="preserve">Fernandes, F., and F. Prates. 2000.</w:t>
      </w:r>
      <w:r>
        <w:t xml:space="preserve"> </w:t>
      </w:r>
      <w:r>
        <w:t xml:space="preserve">“Cervejarias Reiniciam</w:t>
      </w:r>
      <w:r>
        <w:t xml:space="preserve"> </w:t>
      </w:r>
      <w:r>
        <w:t xml:space="preserve">‘Guerra’</w:t>
      </w:r>
      <w:r>
        <w:t xml:space="preserve"> </w:t>
      </w:r>
      <w:r>
        <w:t xml:space="preserve">Pública Com Troca de Acusações — 25/02/2000.”</w:t>
      </w:r>
      <w:r>
        <w:t xml:space="preserve"> </w:t>
      </w:r>
      <w:r>
        <w:rPr>
          <w:i/>
          <w:iCs/>
        </w:rPr>
        <w:t xml:space="preserve">Folha de S.Paulo</w:t>
      </w:r>
      <w:r>
        <w:t xml:space="preserve">, February 25.</w:t>
      </w:r>
      <w:r>
        <w:t xml:space="preserve"> </w:t>
      </w:r>
      <w:hyperlink r:id="rId30">
        <w:r>
          <w:rPr>
            <w:rStyle w:val="Hyperlink"/>
          </w:rPr>
          <w:t xml:space="preserve">https://www1.folha.uol.com.br/fsp/dinheiro/fi2502200020.htm</w:t>
        </w:r>
      </w:hyperlink>
      <w:r>
        <w:t xml:space="preserve">.</w:t>
      </w:r>
    </w:p>
    <w:bookmarkEnd w:id="31"/>
    <w:bookmarkStart w:id="33" w:name="Xe907e6f783651921e43743a571b2224990b1d42"/>
    <w:p>
      <w:pPr>
        <w:pStyle w:val="Bibliography"/>
      </w:pPr>
      <w:r>
        <w:t xml:space="preserve">Folha de S.Paulo. 1995a.</w:t>
      </w:r>
      <w:r>
        <w:t xml:space="preserve"> </w:t>
      </w:r>
      <w:r>
        <w:t xml:space="preserve">“Cade Adia Decisão Sobre Fusão de Siderúrgicas.”</w:t>
      </w:r>
      <w:r>
        <w:t xml:space="preserve"> </w:t>
      </w:r>
      <w:r>
        <w:rPr>
          <w:i/>
          <w:iCs/>
        </w:rPr>
        <w:t xml:space="preserve">Folha de S.Paulo</w:t>
      </w:r>
      <w:r>
        <w:t xml:space="preserve">, March 23.</w:t>
      </w:r>
      <w:r>
        <w:t xml:space="preserve"> </w:t>
      </w:r>
      <w:hyperlink r:id="rId32">
        <w:r>
          <w:rPr>
            <w:rStyle w:val="Hyperlink"/>
          </w:rPr>
          <w:t xml:space="preserve">https://www1.folha.uol.com.br/fsp/1995/3/23/dinheiro/8.html</w:t>
        </w:r>
      </w:hyperlink>
      <w:r>
        <w:t xml:space="preserve">.</w:t>
      </w:r>
    </w:p>
    <w:bookmarkEnd w:id="33"/>
    <w:bookmarkStart w:id="35" w:name="ref-1995-10-14_news_fsp_contra-a-mare"/>
    <w:p>
      <w:pPr>
        <w:pStyle w:val="Bibliography"/>
      </w:pPr>
      <w:r>
        <w:t xml:space="preserve">Folha de S.Paulo. 1995b.</w:t>
      </w:r>
      <w:r>
        <w:t xml:space="preserve"> </w:t>
      </w:r>
      <w:r>
        <w:t xml:space="preserve">“Contra a Maré.”</w:t>
      </w:r>
      <w:r>
        <w:t xml:space="preserve"> </w:t>
      </w:r>
      <w:r>
        <w:rPr>
          <w:i/>
          <w:iCs/>
        </w:rPr>
        <w:t xml:space="preserve">Folha de S.Paulo</w:t>
      </w:r>
      <w:r>
        <w:t xml:space="preserve">, October 14.</w:t>
      </w:r>
      <w:r>
        <w:t xml:space="preserve"> </w:t>
      </w:r>
      <w:hyperlink r:id="rId34">
        <w:r>
          <w:rPr>
            <w:rStyle w:val="Hyperlink"/>
          </w:rPr>
          <w:t xml:space="preserve">https://www1.folha.uol.com.br/fsp/1995/10/14/dinheiro/2.html</w:t>
        </w:r>
      </w:hyperlink>
      <w:r>
        <w:t xml:space="preserve">.</w:t>
      </w:r>
    </w:p>
    <w:bookmarkEnd w:id="35"/>
    <w:bookmarkStart w:id="37" w:name="Xb195afb2ae6694bece37165acc3a3b49727ec74"/>
    <w:p>
      <w:pPr>
        <w:pStyle w:val="Bibliography"/>
      </w:pPr>
      <w:r>
        <w:t xml:space="preserve">Folha de S.Paulo. 2004.</w:t>
      </w:r>
      <w:r>
        <w:t xml:space="preserve"> </w:t>
      </w:r>
      <w:r>
        <w:t xml:space="preserve">“Autores Apontam Caminhos Para a Política Industrial.”</w:t>
      </w:r>
      <w:r>
        <w:t xml:space="preserve"> </w:t>
      </w:r>
      <w:r>
        <w:rPr>
          <w:i/>
          <w:iCs/>
        </w:rPr>
        <w:t xml:space="preserve">Folha de S.Paulo</w:t>
      </w:r>
      <w:r>
        <w:t xml:space="preserve">, July 3.</w:t>
      </w:r>
      <w:r>
        <w:t xml:space="preserve"> </w:t>
      </w:r>
      <w:hyperlink r:id="rId36">
        <w:r>
          <w:rPr>
            <w:rStyle w:val="Hyperlink"/>
          </w:rPr>
          <w:t xml:space="preserve">https://www1.folha.uol.com.br/folha/publifolha/ult10037u351843.shtml</w:t>
        </w:r>
      </w:hyperlink>
      <w:r>
        <w:t xml:space="preserve">.</w:t>
      </w:r>
    </w:p>
    <w:bookmarkEnd w:id="37"/>
    <w:bookmarkStart w:id="39" w:name="ref-Foster-Thelen2024"/>
    <w:p>
      <w:pPr>
        <w:pStyle w:val="Bibliography"/>
      </w:pPr>
      <w:r>
        <w:t xml:space="preserve">Foster, Chase, and Kathleen Thelen. 2024.</w:t>
      </w:r>
      <w:r>
        <w:t xml:space="preserve"> </w:t>
      </w:r>
      <w:r>
        <w:t xml:space="preserve">“Brandeis in</w:t>
      </w:r>
      <w:r>
        <w:t xml:space="preserve"> </w:t>
      </w:r>
      <w:r>
        <w:rPr>
          <w:smallCaps/>
        </w:rPr>
        <w:t xml:space="preserve">Brussels</w:t>
      </w:r>
      <w:r>
        <w:t xml:space="preserve"> </w:t>
      </w:r>
      <w:r>
        <w:t xml:space="preserve">?</w:t>
      </w:r>
      <w:r>
        <w:t xml:space="preserve"> </w:t>
      </w:r>
      <w:r>
        <w:t xml:space="preserve">Bureaucratic</w:t>
      </w:r>
      <w:r>
        <w:t xml:space="preserve"> </w:t>
      </w:r>
      <w:r>
        <w:t xml:space="preserve">Discretion, Social Learning, and the Development of Regulated Competition in the</w:t>
      </w:r>
      <w:r>
        <w:t xml:space="preserve"> </w:t>
      </w:r>
      <w:r>
        <w:rPr>
          <w:smallCaps/>
        </w:rPr>
        <w:t xml:space="preserve">European Union</w:t>
      </w:r>
      <w:r>
        <w:t xml:space="preserve">.”</w:t>
      </w:r>
      <w:r>
        <w:t xml:space="preserve"> </w:t>
      </w:r>
      <w:r>
        <w:rPr>
          <w:i/>
          <w:iCs/>
        </w:rPr>
        <w:t xml:space="preserve">Regulation &amp; Governance</w:t>
      </w:r>
      <w:r>
        <w:t xml:space="preserve"> </w:t>
      </w:r>
      <w:r>
        <w:t xml:space="preserve">18 (4): 1083–103.</w:t>
      </w:r>
      <w:r>
        <w:t xml:space="preserve"> </w:t>
      </w:r>
      <w:hyperlink r:id="rId38">
        <w:r>
          <w:rPr>
            <w:rStyle w:val="Hyperlink"/>
          </w:rPr>
          <w:t xml:space="preserve">https://doi.org/10.1111/rego.12570</w:t>
        </w:r>
      </w:hyperlink>
      <w:r>
        <w:t xml:space="preserve">.</w:t>
      </w:r>
    </w:p>
    <w:bookmarkEnd w:id="39"/>
    <w:bookmarkStart w:id="40" w:name="ref-Hovenkamp2005"/>
    <w:p>
      <w:pPr>
        <w:pStyle w:val="Bibliography"/>
      </w:pPr>
      <w:r>
        <w:t xml:space="preserve">Hovenkamp, Herbert. 2005.</w:t>
      </w:r>
      <w:r>
        <w:t xml:space="preserve"> </w:t>
      </w:r>
      <w:r>
        <w:rPr>
          <w:i/>
          <w:iCs/>
        </w:rPr>
        <w:t xml:space="preserve">Federal Antitrust Policy:</w:t>
      </w:r>
      <w:r>
        <w:rPr>
          <w:i/>
          <w:iCs/>
        </w:rPr>
        <w:t xml:space="preserve"> </w:t>
      </w:r>
      <w:r>
        <w:rPr>
          <w:i/>
          <w:iCs/>
        </w:rPr>
        <w:t xml:space="preserve">The</w:t>
      </w:r>
      <w:r>
        <w:rPr>
          <w:i/>
          <w:iCs/>
        </w:rPr>
        <w:t xml:space="preserve"> </w:t>
      </w:r>
      <w:r>
        <w:rPr>
          <w:i/>
          <w:iCs/>
        </w:rPr>
        <w:t xml:space="preserve">Law of Competition and Its Practice</w:t>
      </w:r>
      <w:r>
        <w:t xml:space="preserve">. 3rd ed. West Group.</w:t>
      </w:r>
    </w:p>
    <w:bookmarkEnd w:id="40"/>
    <w:bookmarkStart w:id="42" w:name="ref-Juhasz-etal2024"/>
    <w:p>
      <w:pPr>
        <w:pStyle w:val="Bibliography"/>
      </w:pPr>
      <w:r>
        <w:t xml:space="preserve">Juhász, Réka, Nathan Lane, and Dani Rodrik. 2024.</w:t>
      </w:r>
      <w:r>
        <w:t xml:space="preserve"> </w:t>
      </w:r>
      <w:r>
        <w:t xml:space="preserve">“The</w:t>
      </w:r>
      <w:r>
        <w:t xml:space="preserve"> </w:t>
      </w:r>
      <w:r>
        <w:t xml:space="preserve">New Economics</w:t>
      </w:r>
      <w:r>
        <w:t xml:space="preserve"> </w:t>
      </w:r>
      <w:r>
        <w:t xml:space="preserve">of</w:t>
      </w:r>
      <w:r>
        <w:t xml:space="preserve"> </w:t>
      </w:r>
      <w:r>
        <w:t xml:space="preserve">Industrial Policy</w:t>
      </w:r>
      <w:r>
        <w:t xml:space="preserve">.”</w:t>
      </w:r>
      <w:r>
        <w:t xml:space="preserve"> </w:t>
      </w:r>
      <w:r>
        <w:rPr>
          <w:i/>
          <w:iCs/>
        </w:rPr>
        <w:t xml:space="preserve">Annual Review of Economics</w:t>
      </w:r>
      <w:r>
        <w:t xml:space="preserve"> </w:t>
      </w:r>
      <w:r>
        <w:t xml:space="preserve">16 (1): 213–42.</w:t>
      </w:r>
      <w:r>
        <w:t xml:space="preserve"> </w:t>
      </w:r>
      <w:hyperlink r:id="rId41">
        <w:r>
          <w:rPr>
            <w:rStyle w:val="Hyperlink"/>
          </w:rPr>
          <w:t xml:space="preserve">https://doi.org/10.1146/annurev-economics-081023-024638</w:t>
        </w:r>
      </w:hyperlink>
      <w:r>
        <w:t xml:space="preserve">.</w:t>
      </w:r>
    </w:p>
    <w:bookmarkEnd w:id="42"/>
    <w:bookmarkStart w:id="43" w:name="ref-Khan2016"/>
    <w:p>
      <w:pPr>
        <w:pStyle w:val="Bibliography"/>
      </w:pPr>
      <w:r>
        <w:t xml:space="preserve">Khan, Lina. 2016.</w:t>
      </w:r>
      <w:r>
        <w:t xml:space="preserve"> </w:t>
      </w:r>
      <w:r>
        <w:t xml:space="preserve">“Amazon’s Antitrust Paradox.”</w:t>
      </w:r>
      <w:r>
        <w:t xml:space="preserve"> </w:t>
      </w:r>
      <w:r>
        <w:rPr>
          <w:i/>
          <w:iCs/>
        </w:rPr>
        <w:t xml:space="preserve">Yale Law Journal</w:t>
      </w:r>
      <w:r>
        <w:t xml:space="preserve"> </w:t>
      </w:r>
      <w:r>
        <w:t xml:space="preserve">126 (3): 710–805.</w:t>
      </w:r>
    </w:p>
    <w:bookmarkEnd w:id="43"/>
    <w:bookmarkStart w:id="44" w:name="ref-Khan-Vaheesan2017"/>
    <w:p>
      <w:pPr>
        <w:pStyle w:val="Bibliography"/>
      </w:pPr>
      <w:r>
        <w:t xml:space="preserve">Khan, Lina, and Sandeep Vaheesan. 2017.</w:t>
      </w:r>
      <w:r>
        <w:t xml:space="preserve"> </w:t>
      </w:r>
      <w:r>
        <w:t xml:space="preserve">“Market Power and Inequality:</w:t>
      </w:r>
      <w:r>
        <w:t xml:space="preserve"> </w:t>
      </w:r>
      <w:r>
        <w:t xml:space="preserve">The</w:t>
      </w:r>
      <w:r>
        <w:t xml:space="preserve"> </w:t>
      </w:r>
      <w:r>
        <w:t xml:space="preserve">Antitrust Counterrevolution and Its Discontents.”</w:t>
      </w:r>
      <w:r>
        <w:t xml:space="preserve"> </w:t>
      </w:r>
      <w:r>
        <w:rPr>
          <w:i/>
          <w:iCs/>
        </w:rPr>
        <w:t xml:space="preserve">Harvard Law and Policy Review</w:t>
      </w:r>
      <w:r>
        <w:t xml:space="preserve"> </w:t>
      </w:r>
      <w:r>
        <w:t xml:space="preserve">11: 235–94.</w:t>
      </w:r>
    </w:p>
    <w:bookmarkEnd w:id="44"/>
    <w:bookmarkStart w:id="46" w:name="ref-LoPrete1999"/>
    <w:p>
      <w:pPr>
        <w:pStyle w:val="Bibliography"/>
      </w:pPr>
      <w:r>
        <w:t xml:space="preserve">Lo Prete, R. 1999.</w:t>
      </w:r>
      <w:r>
        <w:t xml:space="preserve"> </w:t>
      </w:r>
      <w:r>
        <w:t xml:space="preserve">“Pequenos Tropeços, Grandes Negócios — 04/07/99.”</w:t>
      </w:r>
      <w:r>
        <w:t xml:space="preserve"> </w:t>
      </w:r>
      <w:r>
        <w:rPr>
          <w:i/>
          <w:iCs/>
        </w:rPr>
        <w:t xml:space="preserve">Folha de S.Paulo</w:t>
      </w:r>
      <w:r>
        <w:t xml:space="preserve">, July 4.</w:t>
      </w:r>
      <w:r>
        <w:t xml:space="preserve"> </w:t>
      </w:r>
      <w:hyperlink r:id="rId45">
        <w:r>
          <w:rPr>
            <w:rStyle w:val="Hyperlink"/>
          </w:rPr>
          <w:t xml:space="preserve">https://www1.folha.uol.com.br/fsp/ombudsma/om04079901.htm</w:t>
        </w:r>
      </w:hyperlink>
      <w:r>
        <w:t xml:space="preserve">.</w:t>
      </w:r>
    </w:p>
    <w:bookmarkEnd w:id="46"/>
    <w:bookmarkStart w:id="47" w:name="ref-Mahoney-Thelen2010"/>
    <w:p>
      <w:pPr>
        <w:pStyle w:val="Bibliography"/>
      </w:pPr>
      <w:r>
        <w:t xml:space="preserve">Mahoney, James, and Kathleen Thelen, eds. 2010.</w:t>
      </w:r>
      <w:r>
        <w:t xml:space="preserve"> </w:t>
      </w:r>
      <w:r>
        <w:rPr>
          <w:i/>
          <w:iCs/>
        </w:rPr>
        <w:t xml:space="preserve">Explaining Institutional Change:</w:t>
      </w:r>
      <w:r>
        <w:rPr>
          <w:i/>
          <w:iCs/>
        </w:rPr>
        <w:t xml:space="preserve"> </w:t>
      </w:r>
      <w:r>
        <w:rPr>
          <w:i/>
          <w:iCs/>
        </w:rPr>
        <w:t xml:space="preserve">Ambiguity</w:t>
      </w:r>
      <w:r>
        <w:rPr>
          <w:i/>
          <w:iCs/>
        </w:rPr>
        <w:t xml:space="preserve">, Agency, and Power</w:t>
      </w:r>
      <w:r>
        <w:t xml:space="preserve">. Cambridge University Press.</w:t>
      </w:r>
    </w:p>
    <w:bookmarkEnd w:id="47"/>
    <w:bookmarkStart w:id="48" w:name="ref-Onto2017"/>
    <w:p>
      <w:pPr>
        <w:pStyle w:val="Bibliography"/>
      </w:pPr>
      <w:r>
        <w:t xml:space="preserve">Onto, Gustavo Gomes. 2016.</w:t>
      </w:r>
      <w:r>
        <w:t xml:space="preserve"> </w:t>
      </w:r>
      <w:r>
        <w:t xml:space="preserve">“Ficções Econômicas e Realidades Jurídicas: Uma Etnografia Da Política de Defesa Da Concorrência No</w:t>
      </w:r>
      <w:r>
        <w:t xml:space="preserve"> </w:t>
      </w:r>
      <w:r>
        <w:t xml:space="preserve">Brasil</w:t>
      </w:r>
      <w:r>
        <w:t xml:space="preserve">.”</w:t>
      </w:r>
      <w:r>
        <w:t xml:space="preserve"> </w:t>
      </w:r>
      <w:r>
        <w:t xml:space="preserve">Tese de Doutorado, Museu Nacional, Universidade Federal do Rio de Janeiro (UFRJ).</w:t>
      </w:r>
    </w:p>
    <w:bookmarkEnd w:id="48"/>
    <w:bookmarkStart w:id="50" w:name="ref-Posner1979"/>
    <w:p>
      <w:pPr>
        <w:pStyle w:val="Bibliography"/>
      </w:pPr>
      <w:r>
        <w:t xml:space="preserve">Posner, Richard A. 1979.</w:t>
      </w:r>
      <w:r>
        <w:t xml:space="preserve"> </w:t>
      </w:r>
      <w:r>
        <w:t xml:space="preserve">“The Chicago School of Antitrust Analysis.”</w:t>
      </w:r>
      <w:r>
        <w:t xml:space="preserve"> </w:t>
      </w:r>
      <w:r>
        <w:rPr>
          <w:i/>
          <w:iCs/>
        </w:rPr>
        <w:t xml:space="preserve">University of Pennsylvania Law Review</w:t>
      </w:r>
      <w:r>
        <w:t xml:space="preserve"> </w:t>
      </w:r>
      <w:r>
        <w:t xml:space="preserve">127 (4): 925–48.</w:t>
      </w:r>
      <w:r>
        <w:t xml:space="preserve"> </w:t>
      </w:r>
      <w:hyperlink r:id="rId49">
        <w:r>
          <w:rPr>
            <w:rStyle w:val="Hyperlink"/>
          </w:rPr>
          <w:t xml:space="preserve">https://scholarship.law.upenn.edu/penn_law_review/vol127/iss4/15/</w:t>
        </w:r>
      </w:hyperlink>
      <w:r>
        <w:t xml:space="preserve">.</w:t>
      </w:r>
    </w:p>
    <w:bookmarkEnd w:id="50"/>
    <w:bookmarkStart w:id="51" w:name="ref-Prasad2012"/>
    <w:p>
      <w:pPr>
        <w:pStyle w:val="Bibliography"/>
      </w:pPr>
      <w:r>
        <w:t xml:space="preserve">Prasad, Monica. 2012.</w:t>
      </w:r>
      <w:r>
        <w:t xml:space="preserve"> </w:t>
      </w:r>
      <w:r>
        <w:rPr>
          <w:i/>
          <w:iCs/>
        </w:rPr>
        <w:t xml:space="preserve">The Land of Too Much:</w:t>
      </w:r>
      <w:r>
        <w:rPr>
          <w:i/>
          <w:iCs/>
        </w:rPr>
        <w:t xml:space="preserve"> </w:t>
      </w:r>
      <w:r>
        <w:rPr>
          <w:i/>
          <w:iCs/>
        </w:rPr>
        <w:t xml:space="preserve">American</w:t>
      </w:r>
      <w:r>
        <w:rPr>
          <w:i/>
          <w:iCs/>
        </w:rPr>
        <w:t xml:space="preserve"> </w:t>
      </w:r>
      <w:r>
        <w:rPr>
          <w:i/>
          <w:iCs/>
        </w:rPr>
        <w:t xml:space="preserve">Abundance and the Paradox of Poverty</w:t>
      </w:r>
      <w:r>
        <w:t xml:space="preserve">. Harvard University Press.</w:t>
      </w:r>
    </w:p>
    <w:bookmarkEnd w:id="51"/>
    <w:bookmarkStart w:id="53" w:name="ref-Ribeiro1995a"/>
    <w:p>
      <w:pPr>
        <w:pStyle w:val="Bibliography"/>
      </w:pPr>
      <w:r>
        <w:t xml:space="preserve">Ribeiro, Alexandre. 1995.</w:t>
      </w:r>
      <w:r>
        <w:t xml:space="preserve"> </w:t>
      </w:r>
      <w:r>
        <w:t xml:space="preserve">“Jobim Se Opõe Ao</w:t>
      </w:r>
      <w:r>
        <w:t xml:space="preserve"> </w:t>
      </w:r>
      <w:r>
        <w:t xml:space="preserve">Cade</w:t>
      </w:r>
      <w:r>
        <w:t xml:space="preserve"> </w:t>
      </w:r>
      <w:r>
        <w:t xml:space="preserve">e Acata Ação Da</w:t>
      </w:r>
      <w:r>
        <w:t xml:space="preserve"> </w:t>
      </w:r>
      <w:r>
        <w:t xml:space="preserve">Gerdau</w:t>
      </w:r>
      <w:r>
        <w:t xml:space="preserve">.”</w:t>
      </w:r>
      <w:r>
        <w:t xml:space="preserve"> </w:t>
      </w:r>
      <w:r>
        <w:rPr>
          <w:i/>
          <w:iCs/>
        </w:rPr>
        <w:t xml:space="preserve">Folha de S.Paulo</w:t>
      </w:r>
      <w:r>
        <w:t xml:space="preserve">, November 15.</w:t>
      </w:r>
      <w:r>
        <w:t xml:space="preserve"> </w:t>
      </w:r>
      <w:hyperlink r:id="rId52">
        <w:r>
          <w:rPr>
            <w:rStyle w:val="Hyperlink"/>
          </w:rPr>
          <w:t xml:space="preserve">https://www1.folha.uol.com.br/fsp/1995/11/15/dinheiro/25.html</w:t>
        </w:r>
      </w:hyperlink>
      <w:r>
        <w:t xml:space="preserve">.</w:t>
      </w:r>
    </w:p>
    <w:bookmarkEnd w:id="53"/>
    <w:bookmarkStart w:id="55" w:name="ref-Seidl1996"/>
    <w:p>
      <w:pPr>
        <w:pStyle w:val="Bibliography"/>
      </w:pPr>
      <w:r>
        <w:t xml:space="preserve">Seidl, Ana Carolina. 1996.</w:t>
      </w:r>
      <w:r>
        <w:t xml:space="preserve"> </w:t>
      </w:r>
      <w:r>
        <w:t xml:space="preserve">“Gerdau Afirma Que</w:t>
      </w:r>
      <w:r>
        <w:t xml:space="preserve"> </w:t>
      </w:r>
      <w:r>
        <w:t xml:space="preserve">Cade</w:t>
      </w:r>
      <w:r>
        <w:t xml:space="preserve"> </w:t>
      </w:r>
      <w:r>
        <w:t xml:space="preserve">é Atraso Na Abertura.”</w:t>
      </w:r>
      <w:r>
        <w:t xml:space="preserve"> </w:t>
      </w:r>
      <w:r>
        <w:rPr>
          <w:i/>
          <w:iCs/>
        </w:rPr>
        <w:t xml:space="preserve">Folha de S.Paulo</w:t>
      </w:r>
      <w:r>
        <w:t xml:space="preserve">, January 14.</w:t>
      </w:r>
      <w:r>
        <w:t xml:space="preserve"> </w:t>
      </w:r>
      <w:hyperlink r:id="rId54">
        <w:r>
          <w:rPr>
            <w:rStyle w:val="Hyperlink"/>
          </w:rPr>
          <w:t xml:space="preserve">https://www1.folha.uol.com.br/fsp/1996/1/14/dinheiro/33.html</w:t>
        </w:r>
      </w:hyperlink>
      <w:r>
        <w:t xml:space="preserve">.</w:t>
      </w:r>
    </w:p>
    <w:bookmarkEnd w:id="55"/>
    <w:bookmarkStart w:id="57" w:name="ref-TheEconomist1999"/>
    <w:p>
      <w:pPr>
        <w:pStyle w:val="Bibliography"/>
      </w:pPr>
      <w:r>
        <w:t xml:space="preserve">The Economist. 1999.</w:t>
      </w:r>
      <w:r>
        <w:t xml:space="preserve"> </w:t>
      </w:r>
      <w:r>
        <w:t xml:space="preserve">“Flag of Convenience.”</w:t>
      </w:r>
      <w:r>
        <w:t xml:space="preserve"> </w:t>
      </w:r>
      <w:r>
        <w:rPr>
          <w:i/>
          <w:iCs/>
        </w:rPr>
        <w:t xml:space="preserve">The Economist</w:t>
      </w:r>
      <w:r>
        <w:t xml:space="preserve">, August 5.</w:t>
      </w:r>
      <w:r>
        <w:t xml:space="preserve"> </w:t>
      </w:r>
      <w:hyperlink r:id="rId56">
        <w:r>
          <w:rPr>
            <w:rStyle w:val="Hyperlink"/>
          </w:rPr>
          <w:t xml:space="preserve">https://www.economist.com/business/1999/08/05/flag-of-convenience</w:t>
        </w:r>
      </w:hyperlink>
      <w:r>
        <w:t xml:space="preserve">.</w:t>
      </w:r>
    </w:p>
    <w:bookmarkEnd w:id="57"/>
    <w:bookmarkStart w:id="58" w:name="ref-Williamson1975"/>
    <w:p>
      <w:pPr>
        <w:pStyle w:val="Bibliography"/>
      </w:pPr>
      <w:r>
        <w:t xml:space="preserve">Williamson, Oliver E. 1975.</w:t>
      </w:r>
      <w:r>
        <w:t xml:space="preserve"> </w:t>
      </w:r>
      <w:r>
        <w:rPr>
          <w:i/>
          <w:iCs/>
        </w:rPr>
        <w:t xml:space="preserve">Markets and Hierarchies: Analysis and Antitrust Implications: A Study in the Economics of Internal Organization</w:t>
      </w:r>
      <w:r>
        <w:t xml:space="preserve">. 1. Free Press paperback ed., [4. Dr.]. The Free Press [u.a.].</w:t>
      </w:r>
    </w:p>
    <w:bookmarkEnd w:id="58"/>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2">
    <w:p>
      <w:pPr>
        <w:pStyle w:val="FootnoteText"/>
      </w:pPr>
      <w:r>
        <w:rPr>
          <w:rStyle w:val="FootnoteReference"/>
        </w:rPr>
        <w:footnoteRef/>
      </w:r>
      <w:r>
        <w:t xml:space="preserve"> </w:t>
      </w:r>
      <w:r>
        <w:t xml:space="preserve">The acquisition would have raised Gerdau’s share of the long-steel market from 39.6 to 46.2 percent, and its overall share of the national steel market to roughly 43 percent</w:t>
      </w:r>
      <w:r>
        <w:t xml:space="preserve"> </w:t>
      </w:r>
      <w:r>
        <w:t xml:space="preserve">(Folha de S.Paulo 1995a)</w:t>
      </w:r>
      <w:r>
        <w:t xml:space="preserve">. When it ordered the deal undone in October 1995, CADE put the resulting share of the market for common long steel at 46.5 percent</w:t>
      </w:r>
      <w:r>
        <w:t xml:space="preserve"> </w:t>
      </w:r>
      <w:r>
        <w:t xml:space="preserve">(Ribeiro 1995)</w:t>
      </w:r>
      <w:r>
        <w:t xml:space="preserve">; under Law 8,884/94 the agency could bar acquisitions and mergers resulting in control of more than 20 percent of a market.</w:t>
      </w:r>
    </w:p>
  </w:footnote>
  <w:footnote w:id="14">
    <w:p>
      <w:pPr>
        <w:pStyle w:val="FootnoteText"/>
      </w:pPr>
      <w:r>
        <w:rPr>
          <w:rStyle w:val="FootnoteReference"/>
        </w:rPr>
        <w:footnoteRef/>
      </w:r>
      <w:r>
        <w:t xml:space="preserve"> </w:t>
      </w:r>
      <w:r>
        <w:t xml:space="preserve">Kaiser had an equity stake held by Coca-Cola, which Ambev used to argue that the firm was only representing the interests of the foreign multinational that would gain a strong competitor with Ambev’s formation</w:t>
      </w:r>
      <w:r>
        <w:t xml:space="preserve"> </w:t>
      </w:r>
      <w:r>
        <w:t xml:space="preserve">(Abdallah 2020)</w:t>
      </w:r>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0" Target="https://doi.org/10.1017/CBO9780511581205" TargetMode="External" /><Relationship Type="http://schemas.openxmlformats.org/officeDocument/2006/relationships/hyperlink" Id="rId38" Target="https://doi.org/10.1111/rego.12570" TargetMode="External" /><Relationship Type="http://schemas.openxmlformats.org/officeDocument/2006/relationships/hyperlink" Id="rId41" Target="https://doi.org/10.1146/annurev-economics-081023-024638" TargetMode="External" /><Relationship Type="http://schemas.openxmlformats.org/officeDocument/2006/relationships/hyperlink" Id="rId49" Target="https://scholarship.law.upenn.edu/penn_law_review/vol127/iss4/15/" TargetMode="External" /><Relationship Type="http://schemas.openxmlformats.org/officeDocument/2006/relationships/hyperlink" Id="rId56" Target="https://www.economist.com/business/1999/08/05/flag-of-convenience" TargetMode="External" /><Relationship Type="http://schemas.openxmlformats.org/officeDocument/2006/relationships/hyperlink" Id="rId23" Target="https://www.planalto.gov.br/ccivil_03/leis/l8884.htm" TargetMode="External" /><Relationship Type="http://schemas.openxmlformats.org/officeDocument/2006/relationships/hyperlink" Id="rId36" Target="https://www1.folha.uol.com.br/folha/publifolha/ult10037u351843.shtml" TargetMode="External" /><Relationship Type="http://schemas.openxmlformats.org/officeDocument/2006/relationships/hyperlink" Id="rId34" Target="https://www1.folha.uol.com.br/fsp/1995/10/14/dinheiro/2.html" TargetMode="External" /><Relationship Type="http://schemas.openxmlformats.org/officeDocument/2006/relationships/hyperlink" Id="rId52" Target="https://www1.folha.uol.com.br/fsp/1995/11/15/dinheiro/25.html" TargetMode="External" /><Relationship Type="http://schemas.openxmlformats.org/officeDocument/2006/relationships/hyperlink" Id="rId32" Target="https://www1.folha.uol.com.br/fsp/1995/3/23/dinheiro/8.html" TargetMode="External" /><Relationship Type="http://schemas.openxmlformats.org/officeDocument/2006/relationships/hyperlink" Id="rId54" Target="https://www1.folha.uol.com.br/fsp/1996/1/14/dinheiro/33.html" TargetMode="External" /><Relationship Type="http://schemas.openxmlformats.org/officeDocument/2006/relationships/hyperlink" Id="rId30" Target="https://www1.folha.uol.com.br/fsp/dinheiro/fi2502200020.htm" TargetMode="External" /><Relationship Type="http://schemas.openxmlformats.org/officeDocument/2006/relationships/hyperlink" Id="rId45" Target="https://www1.folha.uol.com.br/fsp/ombudsma/om04079901.htm" TargetMode="External" /></Relationships>
</file>

<file path=word/_rels/footnotes.xml.rels><?xml version="1.0" encoding="UTF-8"?><Relationships xmlns="http://schemas.openxmlformats.org/package/2006/relationships"><Relationship Type="http://schemas.openxmlformats.org/officeDocument/2006/relationships/hyperlink" Id="rId20" Target="https://doi.org/10.1017/CBO9780511581205" TargetMode="External" /><Relationship Type="http://schemas.openxmlformats.org/officeDocument/2006/relationships/hyperlink" Id="rId38" Target="https://doi.org/10.1111/rego.12570" TargetMode="External" /><Relationship Type="http://schemas.openxmlformats.org/officeDocument/2006/relationships/hyperlink" Id="rId41" Target="https://doi.org/10.1146/annurev-economics-081023-024638" TargetMode="External" /><Relationship Type="http://schemas.openxmlformats.org/officeDocument/2006/relationships/hyperlink" Id="rId49" Target="https://scholarship.law.upenn.edu/penn_law_review/vol127/iss4/15/" TargetMode="External" /><Relationship Type="http://schemas.openxmlformats.org/officeDocument/2006/relationships/hyperlink" Id="rId56" Target="https://www.economist.com/business/1999/08/05/flag-of-convenience" TargetMode="External" /><Relationship Type="http://schemas.openxmlformats.org/officeDocument/2006/relationships/hyperlink" Id="rId23" Target="https://www.planalto.gov.br/ccivil_03/leis/l8884.htm" TargetMode="External" /><Relationship Type="http://schemas.openxmlformats.org/officeDocument/2006/relationships/hyperlink" Id="rId36" Target="https://www1.folha.uol.com.br/folha/publifolha/ult10037u351843.shtml" TargetMode="External" /><Relationship Type="http://schemas.openxmlformats.org/officeDocument/2006/relationships/hyperlink" Id="rId34" Target="https://www1.folha.uol.com.br/fsp/1995/10/14/dinheiro/2.html" TargetMode="External" /><Relationship Type="http://schemas.openxmlformats.org/officeDocument/2006/relationships/hyperlink" Id="rId52" Target="https://www1.folha.uol.com.br/fsp/1995/11/15/dinheiro/25.html" TargetMode="External" /><Relationship Type="http://schemas.openxmlformats.org/officeDocument/2006/relationships/hyperlink" Id="rId32" Target="https://www1.folha.uol.com.br/fsp/1995/3/23/dinheiro/8.html" TargetMode="External" /><Relationship Type="http://schemas.openxmlformats.org/officeDocument/2006/relationships/hyperlink" Id="rId54" Target="https://www1.folha.uol.com.br/fsp/1996/1/14/dinheiro/33.html" TargetMode="External" /><Relationship Type="http://schemas.openxmlformats.org/officeDocument/2006/relationships/hyperlink" Id="rId30" Target="https://www1.folha.uol.com.br/fsp/dinheiro/fi2502200020.htm" TargetMode="External" /><Relationship Type="http://schemas.openxmlformats.org/officeDocument/2006/relationships/hyperlink" Id="rId45" Target="https://www1.folha.uol.com.br/fsp/ombudsma/om04079901.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Antitrust as industrial policy: Government-Sponsored Mergers as Passive Industrial Policy in Brazil, 1995-2002</dc:title>
  <dc:creator>André Vereta-Nahoum; Tales Mançano</dc:creator>
  <cp:keywords>antitrust policy, industrial policy, institutional conversion, Brazil, mergers and acquisitions</cp:keywords>
  <dcterms:created xsi:type="dcterms:W3CDTF">2026-07-23T10:58:21Z</dcterms:created>
  <dcterms:modified xsi:type="dcterms:W3CDTF">2026-07-23T10:58:21Z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article analyzes how antitrust policy can function as passive industrial policy, promoting competitiveness and internationalization in economies under fiscal constraint. Drawing on government-supported mergers in Brazil during the 1990s, the study examines how flexibility in the enforcement of competition law was justified by the need to strengthen national sectors in the face of economic liberalization. Antitrust and industrial policy are traditionally regarded as antagonistic. At the turn of the century, however, Brazil’s antitrust authority allowed the consolidation of major corporate groups, such as Gerdau and Ambev, on the grounds of efficiency gains and global competitiveness — even as the Cardoso government prioritized monetary stability and denied adopting sectoral industrial policies. The Brazilian case illustrates how fiscally conservative governments can strategically use antitrust policy to drive economic development and the internationalization of firms, aligning indirectly and passively with objectives traditionally associated with classic, strengthening-oriented industrial policy.</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