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Agentes de Inteligência Artificial para Pesquisa</w:t>
      </w:r>
    </w:p>
    <w:p>
      <w:pPr>
        <w:pStyle w:val="Subtitle"/>
      </w:pPr>
      <w:r>
        <w:t xml:space="preserve">Seminário Discente DCP-USP 2026</w:t>
      </w:r>
      <w:r>
        <w:t xml:space="preserve"> </w:t>
      </w:r>
      <w:r>
        <w:t xml:space="preserve">Minicurso de Curta Duração</w:t>
      </w:r>
    </w:p>
    <w:p>
      <w:pPr>
        <w:pStyle w:val="Author"/>
      </w:pPr>
      <w:r>
        <w:t xml:space="preserve">Manoel Galdino</w:t>
      </w:r>
    </w:p>
    <w:p>
      <w:pPr>
        <w:pStyle w:val="Author"/>
      </w:pPr>
      <w:r>
        <w:t xml:space="preserve">Felipe Lamarca</w:t>
      </w:r>
    </w:p>
    <w:p>
      <w:pPr>
        <w:pStyle w:val="Author"/>
      </w:pPr>
      <w:r>
        <w:t xml:space="preserve">Tales Mançano</w:t>
      </w:r>
    </w:p>
    <w:p>
      <w:pPr>
        <w:pStyle w:val="Date"/>
      </w:pPr>
      <w:r>
        <w:t xml:space="preserve">2026-08-24</w:t>
      </w:r>
    </w:p>
    <w:bookmarkStart w:id="9" w:name="visão-geral-e-justificativa"/>
    <w:p>
      <w:pPr>
        <w:pStyle w:val="Heading1"/>
      </w:pPr>
      <w:r>
        <w:t xml:space="preserve">1. Visão Geral e Justificativa</w:t>
      </w:r>
    </w:p>
    <w:p>
      <w:pPr>
        <w:pStyle w:val="FirstParagraph"/>
      </w:pPr>
      <w:r>
        <w:t xml:space="preserve">No último ano, o uso mais interessante dos modelos de linguagem (LLMs) transicionou dos chatbots para agentes: os modelos ganharam a capacidade de executar comandos no computador, consultar arquivos e encontrar informações autonomamente. Na pesquisa acadêmica, isso significa executar planos com várias etapas, manipular dados empíricos, usar ferramentas externas (editar e ler arquivos, chamar APIs, pesquisar na internet) e testar os resultados das próprias tarefas. Isso já é útil para diversas tarefas que antes tomavam muito tempo e agora saem com custo bem mais baixo: análise exploratória de dados, transcrição de entrevistas, organização e triagem de arquivos extensos, classificação de notícias e outros documentos, e criação de bases de dados, entre outras.</w:t>
      </w:r>
    </w:p>
    <w:p>
      <w:pPr>
        <w:pStyle w:val="BodyText"/>
      </w:pPr>
      <w:r>
        <w:t xml:space="preserve">Este minicurso, oferecido no âmbito do</w:t>
      </w:r>
      <w:r>
        <w:t xml:space="preserve"> </w:t>
      </w:r>
      <w:r>
        <w:rPr>
          <w:b/>
          <w:bCs/>
        </w:rPr>
        <w:t xml:space="preserve">Seminário Discente DCP-USP 2026</w:t>
      </w:r>
      <w:r>
        <w:t xml:space="preserve">, tem como propósito introduzir pesquisadores aos fundamentos para usar agentes de IA de forma rigorosa — evitando problemas comuns como alucinações, falta de registro do que foi feito e falta de replicabilidade, e garantindo a possibilidade de revisar o trabalho depois. Isso passa por</w:t>
      </w:r>
      <w:r>
        <w:t xml:space="preserve"> </w:t>
      </w:r>
      <w:r>
        <w:rPr>
          <w:i/>
          <w:iCs/>
        </w:rPr>
        <w:t xml:space="preserve">code as policy</w:t>
      </w:r>
      <w:r>
        <w:t xml:space="preserve">: regras rígidas sobre o que um agente pode e não pode fazer, para evitar problemas de reprodutibilidade e rigor na pesquisa com agentes.</w:t>
      </w:r>
    </w:p>
    <w:p>
      <w:r>
        <w:pict>
          <v:rect style="width:0;height:1.5pt" o:hralign="center" o:hrstd="t" o:hr="t"/>
        </w:pict>
      </w:r>
    </w:p>
    <w:bookmarkEnd w:id="9"/>
    <w:bookmarkStart w:id="10" w:name="objetivos-de-aprendizagem"/>
    <w:p>
      <w:pPr>
        <w:pStyle w:val="Heading1"/>
      </w:pPr>
      <w:r>
        <w:t xml:space="preserve">2. Objetivos de Aprendizagem</w:t>
      </w:r>
    </w:p>
    <w:p>
      <w:pPr>
        <w:pStyle w:val="FirstParagraph"/>
      </w:pPr>
      <w:r>
        <w:t xml:space="preserve">Ao final do workshop, os participantes deverão ser capazes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Reconhecer</w:t>
      </w:r>
      <w:r>
        <w:t xml:space="preserve"> </w:t>
      </w:r>
      <w:r>
        <w:t xml:space="preserve">tarefas de pesquisa em que a automação com agentes é vantajosa — transcrição, classificação de documentos, organização de arquivos extensos, análise exploratória de dados.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Configurar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de um agente — permissões, isolamento e containerização — para rodar com segurança.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</w:t>
      </w:r>
      <w:r>
        <w:t xml:space="preserve"> </w:t>
      </w:r>
      <w:r>
        <w:t xml:space="preserve">quando confiar no julgamento do modelo (instrução em prosa) e quando travar o comportamento com uma regra fixa (</w:t>
      </w:r>
      <w:r>
        <w:rPr>
          <w:i/>
          <w:iCs/>
        </w:rPr>
        <w:t xml:space="preserve">hook</w:t>
      </w:r>
      <w:r>
        <w:t xml:space="preserve">,</w:t>
      </w:r>
      <w:r>
        <w:t xml:space="preserve"> </w:t>
      </w:r>
      <w:r>
        <w:rPr>
          <w:i/>
          <w:iCs/>
        </w:rPr>
        <w:t xml:space="preserve">code as policy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Escrever</w:t>
      </w:r>
      <w:r>
        <w:t xml:space="preserve"> </w:t>
      </w:r>
      <w:r>
        <w:t xml:space="preserve">hooks determinísticos,</w:t>
      </w:r>
      <w:r>
        <w:t xml:space="preserve"> </w:t>
      </w:r>
      <w:r>
        <w:rPr>
          <w:i/>
          <w:iCs/>
        </w:rPr>
        <w:t xml:space="preserve">skills</w:t>
      </w:r>
      <w:r>
        <w:t xml:space="preserve"> </w:t>
      </w:r>
      <w:r>
        <w:t xml:space="preserve">reutilizáveis e um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que funcione de verdade — evitando as armadilhas mais comuns.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Avaliar</w:t>
      </w:r>
      <w:r>
        <w:t xml:space="preserve"> </w:t>
      </w:r>
      <w:r>
        <w:t xml:space="preserve">e integrar ao fluxo de pesquisa uma ferramenta de IA já existente.</w:t>
      </w:r>
    </w:p>
    <w:p>
      <w:r>
        <w:pict>
          <v:rect style="width:0;height:1.5pt" o:hralign="center" o:hrstd="t" o:hr="t"/>
        </w:pict>
      </w:r>
    </w:p>
    <w:bookmarkEnd w:id="10"/>
    <w:bookmarkStart w:id="11" w:name="informações-operacionais"/>
    <w:p>
      <w:pPr>
        <w:pStyle w:val="Heading1"/>
      </w:pPr>
      <w:r>
        <w:t xml:space="preserve">3. Informações Operacionais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Carga Horária</w:t>
      </w:r>
      <w:r>
        <w:t xml:space="preserve">: 3 horas (2 sessões de 1h30).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Público-Alvo</w:t>
      </w:r>
      <w:r>
        <w:t xml:space="preserve">: Alunos de pós-graduação, pesquisadores e docentes em Ciência Política, Relações Internacionais, Sociologia e áreas afins.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Pré-Requisitos</w:t>
      </w:r>
      <w:r>
        <w:t xml:space="preserve">: Conhecimentos básicos de uso de computador e manipulação de arquivos. Não há exigência de experiência prévia em programação, embora familiaridade com R, Python ou terminal de comando seja benéfica.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Formato</w:t>
      </w:r>
      <w:r>
        <w:t xml:space="preserve">: Aulas expositivas e demonstrações ao vivo.</w:t>
      </w:r>
    </w:p>
    <w:p>
      <w:r>
        <w:pict>
          <v:rect style="width:0;height:1.5pt" o:hralign="center" o:hrstd="t" o:hr="t"/>
        </w:pict>
      </w:r>
    </w:p>
    <w:bookmarkEnd w:id="11"/>
    <w:bookmarkStart w:id="14" w:name="programa-do-curso"/>
    <w:p>
      <w:pPr>
        <w:pStyle w:val="Heading1"/>
      </w:pPr>
      <w:r>
        <w:t xml:space="preserve">4. Programa do Curso</w:t>
      </w:r>
    </w:p>
    <w:bookmarkStart w:id="12" w:name="sessão-1-introdução-aos-agentes-1h30"/>
    <w:p>
      <w:pPr>
        <w:pStyle w:val="Heading2"/>
      </w:pPr>
      <w:r>
        <w:t xml:space="preserve">Sessão 1: Introdução aos Agentes (1h30)</w:t>
      </w:r>
    </w:p>
    <w:p>
      <w:pPr>
        <w:pStyle w:val="FirstParagraph"/>
      </w:pPr>
      <w:r>
        <w:rPr>
          <w:i/>
          <w:iCs/>
        </w:rPr>
        <w:t xml:space="preserve">Foco: caráter estritamente conceitual — o que muda quando um LLM ganha capacidade de agir. Nenhuma habilidade prática é ensinada nesta sessão.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LLMs como Agentes</w:t>
      </w:r>
    </w:p>
    <w:p>
      <w:pPr>
        <w:pStyle w:val="Compact"/>
        <w:numPr>
          <w:ilvl w:val="1"/>
          <w:numId w:val="1004"/>
        </w:numPr>
      </w:pPr>
      <w:r>
        <w:t xml:space="preserve">LLMs como agentes: o que muda quando o modelo tem acesso a terminal, edita arquivos locais ou em rede, e executa tarefas de várias etapas sem supervisão a cada passo.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Panorama de Modelos e Ferramentas</w:t>
      </w:r>
    </w:p>
    <w:p>
      <w:pPr>
        <w:pStyle w:val="Compact"/>
        <w:numPr>
          <w:ilvl w:val="1"/>
          <w:numId w:val="1005"/>
        </w:numPr>
      </w:pPr>
      <w:r>
        <w:t xml:space="preserve">Principais famílias de modelos hoje (Claude, GPT, Gemini, DeepSeek, modelos abertos) e o que muda entre elas na prática de pesquisa.</w:t>
      </w:r>
    </w:p>
    <w:p>
      <w:pPr>
        <w:pStyle w:val="Compact"/>
        <w:numPr>
          <w:ilvl w:val="1"/>
          <w:numId w:val="1005"/>
        </w:numPr>
      </w:pPr>
      <w:r>
        <w:t xml:space="preserve">Agentes de terminal e de editor (Open Code, Claude Code, entre outros): o que são e como se diferenciam de um chatbot comum.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Benefícios, Vantagens e Custos</w:t>
      </w:r>
    </w:p>
    <w:p>
      <w:pPr>
        <w:pStyle w:val="Compact"/>
        <w:numPr>
          <w:ilvl w:val="1"/>
          <w:numId w:val="1006"/>
        </w:numPr>
      </w:pPr>
      <w:r>
        <w:t xml:space="preserve">Que tarefas de pesquisa se beneficiam de automação com agentes — e quais não valem o esforço de configurar um agente.</w:t>
      </w:r>
    </w:p>
    <w:p>
      <w:pPr>
        <w:pStyle w:val="Compact"/>
        <w:numPr>
          <w:ilvl w:val="1"/>
          <w:numId w:val="1006"/>
        </w:numPr>
      </w:pPr>
      <w:r>
        <w:t xml:space="preserve">Modelos de cobrança: assinatura de aplicativo vs. cobrança por uso de API (tokens); ordem de grandeza de custo para tarefas típicas de pesquisa.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 Harness do Agente: Isolamento e Containerização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Harness</w:t>
      </w:r>
      <w:r>
        <w:t xml:space="preserve">: o ambiente que envolve o modelo e viabiliza sua execução — quem controla permissões de leitura/escrita, o que o agente pode acessar, quem decide quando parar.</w:t>
      </w:r>
    </w:p>
    <w:p>
      <w:pPr>
        <w:pStyle w:val="Compact"/>
        <w:numPr>
          <w:ilvl w:val="1"/>
          <w:numId w:val="1007"/>
        </w:numPr>
      </w:pPr>
      <w:r>
        <w:t xml:space="preserve">Containerização: rodar agentes em sandbox/container limita o raio de dano de uma ação indevida.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Instrução em Prosa vs. Restrições Determinísticas</w:t>
      </w:r>
    </w:p>
    <w:p>
      <w:pPr>
        <w:pStyle w:val="Compact"/>
        <w:numPr>
          <w:ilvl w:val="1"/>
          <w:numId w:val="1008"/>
        </w:numPr>
      </w:pPr>
      <w:r>
        <w:t xml:space="preserve">Quando confiar no julgamento do modelo (instrução em prosa) e quando impor uma regra fixa que executa sempre da mesma forma.</w:t>
      </w:r>
    </w:p>
    <w:p>
      <w:pPr>
        <w:pStyle w:val="Compact"/>
        <w:numPr>
          <w:ilvl w:val="1"/>
          <w:numId w:val="1008"/>
        </w:numPr>
      </w:pPr>
      <w:r>
        <w:t xml:space="preserve">Por que a pesquisa empírica exige, em certos pontos do processo, uma previsibilidade que demanda regras determinísticas.</w:t>
      </w:r>
    </w:p>
    <w:p>
      <w:pPr>
        <w:pStyle w:val="Compact"/>
        <w:numPr>
          <w:ilvl w:val="1"/>
          <w:numId w:val="1008"/>
        </w:numPr>
      </w:pPr>
      <w:r>
        <w:t xml:space="preserve">Gancho para a Sessão 2: essa distinção é a base de</w:t>
      </w:r>
      <w:r>
        <w:t xml:space="preserve"> </w:t>
      </w:r>
      <w:r>
        <w:rPr>
          <w:i/>
          <w:iCs/>
        </w:rPr>
        <w:t xml:space="preserve">hooks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code as policy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3d34b34c4e4e76305d74696d5818e1a712e93ae"/>
    <w:p>
      <w:pPr>
        <w:pStyle w:val="Heading2"/>
      </w:pPr>
      <w:r>
        <w:t xml:space="preserve">Sessão 2: Habilidades Práticas e Governança (1h30)</w:t>
      </w:r>
    </w:p>
    <w:p>
      <w:pPr>
        <w:pStyle w:val="FirstParagraph"/>
      </w:pPr>
      <w:r>
        <w:rPr>
          <w:i/>
          <w:iCs/>
        </w:rPr>
        <w:t xml:space="preserve">Foco: colocar a mão na massa nas ferramentas que tornam um agente confiável e útil para a pesquisa.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Skills: Instruções Reutilizáveis</w:t>
      </w:r>
    </w:p>
    <w:p>
      <w:pPr>
        <w:pStyle w:val="Compact"/>
        <w:numPr>
          <w:ilvl w:val="1"/>
          <w:numId w:val="1010"/>
        </w:numPr>
      </w:pPr>
      <w:r>
        <w:t xml:space="preserve">O que são</w:t>
      </w:r>
      <w:r>
        <w:t xml:space="preserve"> </w:t>
      </w:r>
      <w:r>
        <w:rPr>
          <w:i/>
          <w:iCs/>
        </w:rPr>
        <w:t xml:space="preserve">skills</w:t>
      </w:r>
      <w:r>
        <w:t xml:space="preserve">: instruções empacotadas e reutilizáveis para tarefas de pesquisa recorrentes.</w:t>
      </w:r>
    </w:p>
    <w:p>
      <w:pPr>
        <w:pStyle w:val="Compact"/>
        <w:numPr>
          <w:ilvl w:val="1"/>
          <w:numId w:val="1010"/>
        </w:numPr>
      </w:pPr>
      <w:r>
        <w:t xml:space="preserve">Para quem quiser ir além: orquestração de múltiplos agentes trabalhando em conjunto numa mesma tarefa — por exemplo, separar um agente que implementa de outro que só valida o que foi feito, mantendo o contexto de cada etapa enxuto e a revisão independente da execução.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Controle Determinístico com Hooks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Hooks</w:t>
      </w:r>
      <w:r>
        <w:t xml:space="preserve"> </w:t>
      </w:r>
      <w:r>
        <w:t xml:space="preserve">de agente: validações e bloqueios (</w:t>
      </w:r>
      <w:r>
        <w:rPr>
          <w:i/>
          <w:iCs/>
        </w:rPr>
        <w:t xml:space="preserve">guardrails</w:t>
      </w:r>
      <w:r>
        <w:t xml:space="preserve">) que sempre disparam antes ou depois da execução do modelo, independente do</w:t>
      </w:r>
      <w:r>
        <w:t xml:space="preserve"> </w:t>
      </w:r>
      <w:r>
        <w:t xml:space="preserve">“bom senso”</w:t>
      </w:r>
      <w:r>
        <w:t xml:space="preserve"> </w:t>
      </w:r>
      <w:r>
        <w:t xml:space="preserve">do modelo — a mesma lógica dos</w:t>
      </w:r>
      <w:r>
        <w:t xml:space="preserve"> </w:t>
      </w:r>
      <w:r>
        <w:rPr>
          <w:i/>
          <w:iCs/>
        </w:rPr>
        <w:t xml:space="preserve">git hooks</w:t>
      </w:r>
      <w:r>
        <w:t xml:space="preserve">, usada aqui apenas como analogia conceitual para intuir o mecanismo, sem exigir conhecimento prévio de Git.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Code as policy</w:t>
      </w:r>
      <w:r>
        <w:t xml:space="preserve">: checagem de integridade de dados, validação de formato e auditoria de commits como regras executáveis, não como pedido em prosa — apresentado via demonstração ao vivo pelos ministrantes, não como exercício prático dos participantes.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MCP, Linha de Comando e Segurança</w:t>
      </w:r>
    </w:p>
    <w:p>
      <w:pPr>
        <w:pStyle w:val="Compact"/>
        <w:numPr>
          <w:ilvl w:val="1"/>
          <w:numId w:val="1012"/>
        </w:numPr>
      </w:pPr>
      <w:r>
        <w:t xml:space="preserve">Model Context Protocol (MCP): como conectar agentes a bases de dados locais, APIs (inclusive governamentais) e ferramentas de busca de forma padronizada.</w:t>
      </w:r>
    </w:p>
    <w:p>
      <w:pPr>
        <w:pStyle w:val="Compact"/>
        <w:numPr>
          <w:ilvl w:val="1"/>
          <w:numId w:val="1012"/>
        </w:numPr>
      </w:pPr>
      <w:r>
        <w:t xml:space="preserve">Boas práticas de segurança: isolamento de chaves de API e permissões de execução — por que</w:t>
      </w:r>
      <w:r>
        <w:t xml:space="preserve"> </w:t>
      </w:r>
      <w:r>
        <w:t xml:space="preserve">“menos acesso”</w:t>
      </w:r>
      <w:r>
        <w:t xml:space="preserve"> </w:t>
      </w:r>
      <w:r>
        <w:t xml:space="preserve">é o padrão seguro.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AGENTS.md</w:t>
      </w:r>
      <w:r>
        <w:rPr>
          <w:b/>
          <w:bCs/>
        </w:rPr>
        <w:t xml:space="preserve"> </w:t>
      </w:r>
      <w:r>
        <w:rPr>
          <w:b/>
          <w:bCs/>
        </w:rPr>
        <w:t xml:space="preserve">e Reprodutibilidade</w:t>
      </w:r>
    </w:p>
    <w:p>
      <w:pPr>
        <w:pStyle w:val="Compact"/>
        <w:numPr>
          <w:ilvl w:val="1"/>
          <w:numId w:val="1013"/>
        </w:numPr>
      </w:pPr>
      <w:r>
        <w:t xml:space="preserve">Estrutura, nível de detalhe e armadilhas comuns ao instruir um agente sobre como operar em um repositório ou projeto de pesquisa.</w:t>
      </w:r>
    </w:p>
    <w:p>
      <w:pPr>
        <w:pStyle w:val="Compact"/>
        <w:numPr>
          <w:ilvl w:val="1"/>
          <w:numId w:val="1013"/>
        </w:numPr>
      </w:pPr>
      <w:r>
        <w:t xml:space="preserve">Rastreabilidade: logs de execução e padrões de versionamento que permitem revisar o trabalho do agente depois.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Software com IA para Pesquisa — Aplicações Exemplares</w:t>
      </w:r>
    </w:p>
    <w:p>
      <w:pPr>
        <w:pStyle w:val="Compact"/>
        <w:numPr>
          <w:ilvl w:val="1"/>
          <w:numId w:val="1014"/>
        </w:numPr>
      </w:pPr>
      <w:r>
        <w:t xml:space="preserve">O que caracteriza uma boa aplicação de IA no fluxo de pesquisa: respostas rastreáveis até a fonte, integração com as ferramentas que o pesquisador já usa, e transparência sobre o que foi automatizado.</w:t>
      </w:r>
    </w:p>
    <w:p>
      <w:pPr>
        <w:pStyle w:val="Compact"/>
        <w:numPr>
          <w:ilvl w:val="1"/>
          <w:numId w:val="1014"/>
        </w:numPr>
      </w:pPr>
      <w:r>
        <w:t xml:space="preserve">Categorias com boas alternativas de IA hoje: gestão de referências (Zotero + Beaver), transcrição de áudio, análise de dados, etc.</w:t>
      </w:r>
    </w:p>
    <w:p>
      <w:pPr>
        <w:pStyle w:val="Compact"/>
        <w:numPr>
          <w:ilvl w:val="1"/>
          <w:numId w:val="1014"/>
        </w:numPr>
      </w:pPr>
      <w:r>
        <w:t xml:space="preserve">Gerenciamento de contexto como boa prática recorrente nessas aplicações: por que separar o agente que executa do agente que audita o resultado reduz viés de confirmação e mantém cada etapa com um contexto mais enxuto e específico.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Agentes de Inteligência Artificial para Pesquisa</dc:title>
  <dc:creator>Manoel Galdino; Felipe Lamarca; Tales Mançano</dc:creator>
  <dc:language>pt</dc:language>
  <cp:keywords/>
  <dcterms:created xsi:type="dcterms:W3CDTF">2026-10-19T00:43:51Z</dcterms:created>
  <dcterms:modified xsi:type="dcterms:W3CDTF">2026-10-19T00:43:51Z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2026-08-24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Seminário Discente DCP-USP 2026 Minicurso de Curta Duração</vt:lpwstr>
  </property>
  <property fmtid="{D5CDD505-2E9C-101B-9397-08002B2CF9AE}" pid="13" name="toc-title">
    <vt:lpwstr>Índice</vt:lpwstr>
  </property>
</Properties>
</file>