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INTENSÉ'MANS — Ce qu'il reste à faire pour ouvrir le site</w:t>
      </w:r>
    </w:p>
    <w:p>
      <w:pPr>
        <w:spacing w:after="60"/>
      </w:pPr>
      <w:r>
        <w:rPr>
          <w:i/>
          <w:iCs/>
          <w:color w:val="555555"/>
          <w:sz w:val="20"/>
          <w:szCs w:val="20"/>
        </w:rPr>
        <w:t xml:space="preserve">Document de travail — 12 septembre 2026</w:t>
      </w:r>
    </w:p>
    <w:p>
      <w:pPr>
        <w:spacing w:after="240"/>
      </w:pPr>
      <w:r>
        <w:rPr>
          <w:sz w:val="22"/>
          <w:szCs w:val="22"/>
        </w:rPr>
        <w:t xml:space="preserve">Côté technique, le site est prêt : réservation de la chambre, boutique d'attentions, paiement, calendrier partagé avec Airbnb, mails de confirmation, tableau de préparation. Tout ce qui reste dans ce document demande un compte, un papier, une signature ou une décision de Lenny — rien de tout ça ne peut être fait à sa place.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60"/>
          <w:left w:type="dxa" w:w="200"/>
          <w:bottom w:type="dxa" w:w="160"/>
          <w:right w:type="dxa" w:w="200"/>
        </w:tblCellMar>
      </w:tblPr>
      <w:tblGrid>
        <w:gridCol w:w="9360"/>
      </w:tblGrid>
      <w:tr>
        <w:tc>
          <w:tcPr>
            <w:tcW w:type="dxa" w:w="9360"/>
            <w:tcBorders>
              <w:top w:val="single" w:color="B4232C" w:sz="4"/>
              <w:left w:val="single" w:color="B4232C" w:sz="24"/>
              <w:bottom w:val="single" w:color="B4232C" w:sz="4"/>
              <w:right w:val="single" w:color="B4232C" w:sz="4"/>
            </w:tcBorders>
            <w:shd w:fill="FBEDEC" w:val="clear"/>
          </w:tcPr>
          <w:p>
            <w:pPr>
              <w:spacing w:after="80"/>
            </w:pPr>
            <w:r>
              <w:rPr>
                <w:b/>
                <w:bCs/>
                <w:color w:val="B4232C"/>
              </w:rPr>
              <w:t xml:space="preserve">Les deux points qui bloquent tout le reste</w:t>
            </w:r>
          </w:p>
          <w:p>
            <w:pPr>
              <w:spacing w:after="40"/>
            </w:pPr>
            <w:r>
              <w:rPr>
                <w:sz w:val="21"/>
                <w:szCs w:val="21"/>
              </w:rPr>
              <w:t xml:space="preserve">Stripe : sans compte validé, le site ne peut encaisser aucun paiement.</w:t>
            </w:r>
          </w:p>
          <w:p>
            <w:pPr>
              <w:spacing w:after="40"/>
            </w:pPr>
            <w:r>
              <w:rPr>
                <w:sz w:val="21"/>
                <w:szCs w:val="21"/>
              </w:rPr>
              <w:t xml:space="preserve">Resend (avec domaine vérifié) : sans lui, aucun mail client ne part — ni confirmation de réservation, ni code de la roue. Les mails à l'hôte, eux, passent déjà.</w:t>
            </w:r>
          </w:p>
        </w:tc>
      </w:tr>
    </w:tbl>
    <w:p>
      <w:pPr>
        <w:pStyle w:val="Heading1"/>
      </w:pPr>
      <w:r>
        <w:t xml:space="preserve">1. Urgent — sans ça, le site ne peut ni encaisser ni prévenir personne</w:t>
      </w:r>
    </w:p>
    <w:p>
      <w:pPr>
        <w:pStyle w:val="Heading2"/>
      </w:pPr>
      <w:r>
        <w:t xml:space="preserve">Stripe (paiement)</w:t>
      </w:r>
    </w:p>
    <w:p>
      <w:pPr>
        <w:pStyle w:val="ListParagraph"/>
        <w:numPr>
          <w:ilvl w:val="0"/>
          <w:numId w:val="2"/>
        </w:numPr>
        <w:spacing w:after="80"/>
      </w:pPr>
      <w:r>
        <w:rPr>
          <w:b/>
          <w:bCs/>
        </w:rPr>
        <w:t xml:space="preserve">Créer le compte sur stripe.com</w:t>
      </w:r>
      <w:r>
        <w:t xml:space="preserve"> — Kbis, RIB et pièce d'identité seront demandés.</w:t>
      </w:r>
    </w:p>
    <w:p>
      <w:pPr>
        <w:pStyle w:val="ListParagraph"/>
        <w:numPr>
          <w:ilvl w:val="0"/>
          <w:numId w:val="2"/>
        </w:numPr>
        <w:spacing w:after="80"/>
      </w:pPr>
      <w:r>
        <w:t xml:space="preserve">Une fois validé : récupérer les </w:t>
      </w:r>
      <w:r>
        <w:rPr>
          <w:b/>
          <w:bCs/>
        </w:rPr>
        <w:t xml:space="preserve">deux clés</w:t>
      </w:r>
      <w:r>
        <w:t xml:space="preserve"> dans Développeurs → Clés API (commencer par les clés de </w:t>
      </w:r>
      <w:r>
        <w:rPr>
          <w:b/>
          <w:bCs/>
        </w:rPr>
        <w:t xml:space="preserve">TEST</w:t>
      </w:r>
      <w:r>
        <w:t xml:space="preserve">, préfixe </w:t>
      </w:r>
      <w:r>
        <w:rPr>
          <w:b/>
          <w:bCs/>
        </w:rPr>
        <w:t xml:space="preserve">sk_test_…</w:t>
      </w:r>
      <w:r>
        <w:t xml:space="preserve"> — la carte 4242 4242 4242 4242 permet de tout vérifier sans encaisser).</w:t>
      </w:r>
    </w:p>
    <w:p>
      <w:pPr>
        <w:pStyle w:val="ListParagraph"/>
        <w:numPr>
          <w:ilvl w:val="0"/>
          <w:numId w:val="2"/>
        </w:numPr>
        <w:spacing w:after="80"/>
      </w:pPr>
      <w:r>
        <w:t xml:space="preserve">Créer le </w:t>
      </w:r>
      <w:r>
        <w:rPr>
          <w:b/>
          <w:bCs/>
        </w:rPr>
        <w:t xml:space="preserve">webhook</w:t>
      </w:r>
      <w:r>
        <w:t xml:space="preserve"> (Développeurs → Webhooks) vers </w:t>
      </w:r>
      <w:r>
        <w:rPr>
          <w:b/>
          <w:bCs/>
        </w:rPr>
        <w:t xml:space="preserve">https://&lt;domaine&gt;/api/webhook</w:t>
      </w:r>
      <w:r>
        <w:t xml:space="preserve">, événement </w:t>
      </w:r>
      <w:r>
        <w:rPr>
          <w:b/>
          <w:bCs/>
        </w:rPr>
        <w:t xml:space="preserve">checkout.session.completed</w:t>
      </w:r>
      <w:r>
        <w:t xml:space="preserve"> → récupérer le secret du webhook.</w:t>
      </w:r>
    </w:p>
    <w:p>
      <w:pPr>
        <w:pStyle w:val="ListParagraph"/>
        <w:numPr>
          <w:ilvl w:val="0"/>
          <w:numId w:val="2"/>
        </w:numPr>
        <w:spacing w:after="80"/>
      </w:pPr>
      <w:r>
        <w:t xml:space="preserve">Activer </w:t>
      </w:r>
      <w:r>
        <w:rPr>
          <w:b/>
          <w:bCs/>
        </w:rPr>
        <w:t xml:space="preserve">l'envoi automatique des reçus</w:t>
      </w:r>
      <w:r>
        <w:t xml:space="preserve"> de paiement dans les réglages Stripe.</w:t>
      </w:r>
    </w:p>
    <w:p>
      <w:pPr>
        <w:pStyle w:val="ListParagraph"/>
        <w:numPr>
          <w:ilvl w:val="0"/>
          <w:numId w:val="2"/>
        </w:numPr>
        <w:spacing w:after="80"/>
      </w:pPr>
      <w:r>
        <w:t xml:space="preserve">Rappel : Stripe </w:t>
      </w:r>
      <w:r>
        <w:rPr>
          <w:b/>
          <w:bCs/>
        </w:rPr>
        <w:t xml:space="preserve">refuse le passage en mode production</w:t>
      </w:r>
      <w:r>
        <w:t xml:space="preserve"> tant que CGV, mentions légales, coordonnées et politique de remboursement ne sont pas publiques sur le site (section 2).</w:t>
      </w:r>
    </w:p>
    <w:p>
      <w:pPr>
        <w:pStyle w:val="Heading2"/>
      </w:pPr>
      <w:r>
        <w:t xml:space="preserve">Resend (mails de confirmation)</w:t>
      </w:r>
    </w:p>
    <w:p>
      <w:pPr>
        <w:pStyle w:val="ListParagraph"/>
        <w:numPr>
          <w:ilvl w:val="0"/>
          <w:numId w:val="2"/>
        </w:numPr>
        <w:spacing w:after="80"/>
      </w:pPr>
      <w:r>
        <w:rPr>
          <w:b/>
          <w:bCs/>
        </w:rPr>
        <w:t xml:space="preserve">Créer le compte sur resend.com</w:t>
      </w:r>
      <w:r>
        <w:t xml:space="preserve"> et récupérer la clé API.</w:t>
      </w:r>
    </w:p>
    <w:p>
      <w:pPr>
        <w:pStyle w:val="ListParagraph"/>
        <w:numPr>
          <w:ilvl w:val="0"/>
          <w:numId w:val="2"/>
        </w:numPr>
        <w:spacing w:after="80"/>
      </w:pPr>
      <w:r>
        <w:t xml:space="preserve">⚠️ </w:t>
      </w:r>
      <w:r>
        <w:rPr>
          <w:b/>
          <w:bCs/>
        </w:rPr>
        <w:t xml:space="preserve">Vérifier un domaine</w:t>
      </w:r>
      <w:r>
        <w:t xml:space="preserve"> (ajout de deux lignes DNS chez l'hébergeur du nom de domaine). </w:t>
      </w:r>
      <w:r>
        <w:rPr>
          <w:b/>
          <w:bCs/>
        </w:rPr>
        <w:t xml:space="preserve">Tant que ce n'est pas fait, l'expéditeur reste onboarding@resend.dev et Resend n'accepte d'envoyer QU'À l'adresse du compte Resend</w:t>
      </w:r>
      <w:r>
        <w:t xml:space="preserve"> : les mails à l'hôte partent, mais </w:t>
      </w:r>
      <w:r>
        <w:rPr>
          <w:b/>
          <w:bCs/>
        </w:rPr>
        <w:t xml:space="preserve">aucun mail client n'arrive</w:t>
      </w:r>
      <w:r>
        <w:t xml:space="preserve"> — ni la confirmation de nuit, ni la confirmation d'attentions, ni le code de la roue.</w:t>
      </w:r>
    </w:p>
    <w:p>
      <w:pPr>
        <w:pStyle w:val="Heading2"/>
      </w:pPr>
      <w:r>
        <w:t xml:space="preserve">Nom de domaine</w:t>
      </w:r>
    </w:p>
    <w:p>
      <w:pPr>
        <w:pStyle w:val="ListParagraph"/>
        <w:numPr>
          <w:ilvl w:val="0"/>
          <w:numId w:val="2"/>
        </w:numPr>
        <w:spacing w:after="80"/>
      </w:pPr>
      <w:r>
        <w:t xml:space="preserve">À acheter (ex. </w:t>
      </w:r>
      <w:r>
        <w:rPr>
          <w:b/>
          <w:bCs/>
        </w:rPr>
        <w:t xml:space="preserve">intensemans.fr</w:t>
      </w:r>
      <w:r>
        <w:t xml:space="preserve">, une dizaine d'euros par an) — nécessaire pour Resend et pour l'adresse finale du site.</w:t>
      </w:r>
    </w:p>
    <w:p>
      <w:pPr>
        <w:pStyle w:val="Heading2"/>
      </w:pPr>
      <w:r>
        <w:t xml:space="preserve">Base des commandes et hébergement (technique, pour information)</w:t>
      </w:r>
    </w:p>
    <w:p>
      <w:pPr>
        <w:pStyle w:val="ListParagraph"/>
        <w:numPr>
          <w:ilvl w:val="0"/>
          <w:numId w:val="2"/>
        </w:numPr>
        <w:spacing w:after="80"/>
      </w:pPr>
      <w:r>
        <w:t xml:space="preserve">Upstash Redis se branche depuis Vercel → Storage, en un clic ; les identifiants s'injectent seuls. Rien à faire côté Lenny, sinon savoir que ça existe.</w:t>
      </w:r>
    </w:p>
    <w:p>
      <w:pPr>
        <w:spacing w:after="120"/>
      </w:pPr>
      <w:r>
        <w:t xml:space="preserve"/>
      </w:r>
    </w:p>
    <w:p>
      <w:pPr>
        <w:pStyle w:val="Heading2"/>
      </w:pPr>
      <w:r>
        <w:t xml:space="preserve">Variables encore vides dans la configuration du site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3120"/>
        <w:gridCol w:w="3120"/>
        <w:gridCol w:w="3120"/>
      </w:tblGrid>
      <w:tr>
        <w:trPr>
          <w:tblHeader/>
        </w:trPr>
        <w:tc>
          <w:tcPr>
            <w:tcW w:type="dxa" w:w="3120"/>
            <w:tcBorders>
              <w:top w:val="single" w:color="D9D2C8" w:sz="2"/>
              <w:left w:val="single" w:color="D9D2C8" w:sz="2"/>
              <w:bottom w:val="single" w:color="D9D2C8" w:sz="2"/>
              <w:right w:val="single" w:color="D9D2C8" w:sz="2"/>
            </w:tcBorders>
            <w:shd w:fill="221B1D" w:val="clear"/>
            <w:vAlign w:val="center"/>
          </w:tcPr>
          <w:p>
            <w:r>
              <w:rPr>
                <w:b/>
                <w:bCs/>
                <w:color w:val="FFFFFF"/>
                <w:sz w:val="20"/>
                <w:szCs w:val="20"/>
              </w:rPr>
              <w:t xml:space="preserve">Variable</w:t>
            </w:r>
          </w:p>
        </w:tc>
        <w:tc>
          <w:tcPr>
            <w:tcW w:type="dxa" w:w="3120"/>
            <w:tcBorders>
              <w:top w:val="single" w:color="D9D2C8" w:sz="2"/>
              <w:left w:val="single" w:color="D9D2C8" w:sz="2"/>
              <w:bottom w:val="single" w:color="D9D2C8" w:sz="2"/>
              <w:right w:val="single" w:color="D9D2C8" w:sz="2"/>
            </w:tcBorders>
            <w:shd w:fill="221B1D" w:val="clear"/>
            <w:vAlign w:val="center"/>
          </w:tcPr>
          <w:p>
            <w:r>
              <w:rPr>
                <w:b/>
                <w:bCs/>
                <w:color w:val="FFFFFF"/>
                <w:sz w:val="20"/>
                <w:szCs w:val="20"/>
              </w:rPr>
              <w:t xml:space="preserve">À quoi ça sert</w:t>
            </w:r>
          </w:p>
        </w:tc>
        <w:tc>
          <w:tcPr>
            <w:tcW w:type="dxa" w:w="3120"/>
            <w:tcBorders>
              <w:top w:val="single" w:color="D9D2C8" w:sz="2"/>
              <w:left w:val="single" w:color="D9D2C8" w:sz="2"/>
              <w:bottom w:val="single" w:color="D9D2C8" w:sz="2"/>
              <w:right w:val="single" w:color="D9D2C8" w:sz="2"/>
            </w:tcBorders>
            <w:shd w:fill="221B1D" w:val="clear"/>
            <w:vAlign w:val="center"/>
          </w:tcPr>
          <w:p>
            <w:r>
              <w:rPr>
                <w:b/>
                <w:bCs/>
                <w:color w:val="FFFFFF"/>
                <w:sz w:val="20"/>
                <w:szCs w:val="20"/>
              </w:rPr>
              <w:t xml:space="preserve">Où la récupérer</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STRIPE_SECRET_KEY</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Encaisser les paiements</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Stripe → Développeurs → Clés API</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STRIPE_WEBHOOK_SECRET</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Confirmer un paiement reçu</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Stripe → Développeurs → Webhooks</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RESEND_API_KEY</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Envoyer les mails</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resend.com → API Keys</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RESEND_FROM</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Adresse d'expédition des mails</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Une adresse du domaine, une fois vérifié</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HOST_NOTIFY_EMAIL</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Adresse qui reçoit les commandes</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Choisie par Lenny</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CONTACT_EMAIL / CONTACT_TEL</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Affichés en pied de mail client</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Fournis par Lenny</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ADMIN_EMAILS</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Adresse(s) autorisées sur /preparer.html</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Fournies par Lenny (voir section 7)</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AIRBNB_ICAL_URL</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Lit le calendrier Airbnb pour éviter le double booking</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Airbnb → Disponibilités → Exporter (section 6)</w:t>
            </w:r>
          </w:p>
        </w:tc>
      </w:tr>
    </w:tbl>
    <w:p>
      <w:pPr>
        <w:pStyle w:val="Heading1"/>
      </w:pPr>
      <w:r>
        <w:t xml:space="preserve">2. Obligatoire pour avoir le droit d'ouvrir</w:t>
      </w:r>
    </w:p>
    <w:p>
      <w:pPr>
        <w:pStyle w:val="ListParagraph"/>
        <w:numPr>
          <w:ilvl w:val="0"/>
          <w:numId w:val="2"/>
        </w:numPr>
        <w:spacing w:after="80"/>
      </w:pPr>
      <w:r>
        <w:rPr>
          <w:b/>
          <w:bCs/>
        </w:rPr>
        <w:t xml:space="preserve">Déclarer le meublé à la mairie du Mans</w:t>
      </w:r>
      <w:r>
        <w:t xml:space="preserve"> (formulaire Cerfa n°14004, gratuit, en ligne) → obtenir le </w:t>
      </w:r>
      <w:r>
        <w:rPr>
          <w:b/>
          <w:bCs/>
        </w:rPr>
        <w:t xml:space="preserve">numéro de déclaration</w:t>
      </w:r>
      <w:r>
        <w:t xml:space="preserve">, à afficher sur le site. Sans lui, l'amende peut aller jusqu'à 5 000 €.</w:t>
      </w:r>
    </w:p>
    <w:p>
      <w:pPr>
        <w:pStyle w:val="ListParagraph"/>
        <w:numPr>
          <w:ilvl w:val="0"/>
          <w:numId w:val="2"/>
        </w:numPr>
        <w:spacing w:after="80"/>
      </w:pPr>
      <w:r>
        <w:rPr>
          <w:b/>
          <w:bCs/>
        </w:rPr>
        <w:t xml:space="preserve">Adhérer à un médiateur de la consommation agréé</w:t>
      </w:r>
      <w:r>
        <w:t xml:space="preserve"> (≈100 à 200 €/an) — obligatoire dès qu'on vend à des particuliers, quelle que soit la forme de la société. Son nom, son adresse et son site doivent figurer dans les CGV.</w:t>
      </w:r>
    </w:p>
    <w:p>
      <w:pPr>
        <w:pStyle w:val="ListParagraph"/>
        <w:numPr>
          <w:ilvl w:val="0"/>
          <w:numId w:val="2"/>
        </w:numPr>
        <w:spacing w:after="80"/>
      </w:pPr>
      <w:r>
        <w:rPr>
          <w:b/>
          <w:bCs/>
        </w:rPr>
        <w:t xml:space="preserve">Envoyer le nom de l'assureur et le numéro du contrat RC pro</w:t>
      </w:r>
      <w:r>
        <w:t xml:space="preserve"> (Lenny a dit l'avoir déjà) — à inscrire dans les mentions légales.</w:t>
      </w:r>
    </w:p>
    <w:p>
      <w:pPr>
        <w:pStyle w:val="ListParagraph"/>
        <w:numPr>
          <w:ilvl w:val="0"/>
          <w:numId w:val="2"/>
        </w:numPr>
        <w:spacing w:after="80"/>
      </w:pPr>
      <w:r>
        <w:rPr>
          <w:b/>
          <w:bCs/>
        </w:rPr>
        <w:t xml:space="preserve">Décider si l'adresse du logement s'affiche publiquement</w:t>
      </w:r>
      <w:r>
        <w:t xml:space="preserve">, ou si le site écrit « communiquée après réservation ».</w:t>
      </w:r>
    </w:p>
    <w:p>
      <w:pPr>
        <w:pStyle w:val="ListParagraph"/>
        <w:numPr>
          <w:ilvl w:val="0"/>
          <w:numId w:val="2"/>
        </w:numPr>
        <w:spacing w:after="80"/>
      </w:pPr>
      <w:r>
        <w:rPr>
          <w:b/>
          <w:bCs/>
        </w:rPr>
        <w:t xml:space="preserve">Voir un comptable avant l'ouverture, pas après</w:t>
      </w:r>
      <w:r>
        <w:t xml:space="preserve"> — deux points :</w:t>
      </w:r>
    </w:p>
    <w:p>
      <w:pPr>
        <w:pStyle w:val="ListParagraph"/>
        <w:numPr>
          <w:ilvl w:val="1"/>
          <w:numId w:val="2"/>
        </w:numPr>
        <w:spacing w:after="80"/>
      </w:pPr>
      <w:r>
        <w:t xml:space="preserve">Le montage en </w:t>
      </w:r>
      <w:r>
        <w:rPr>
          <w:b/>
          <w:bCs/>
        </w:rPr>
        <w:t xml:space="preserve">SCI</w:t>
      </w:r>
      <w:r>
        <w:t xml:space="preserve"> : la location meublée est une activité commerciale ; une SCI qui en fait son activité habituelle bascule automatiquement, et de façon </w:t>
      </w:r>
      <w:r>
        <w:rPr>
          <w:b/>
          <w:bCs/>
        </w:rPr>
        <w:t xml:space="preserve">rétroactive</w:t>
      </w:r>
      <w:r>
        <w:t xml:space="preserve">, à l'impôt sur les sociétés, avec perte de l'abattement sur la plus-value à la revente. Seul point de cette liste qui peut se chiffrer en dizaines de milliers d'euros.</w:t>
      </w:r>
    </w:p>
    <w:p>
      <w:pPr>
        <w:pStyle w:val="ListParagraph"/>
        <w:numPr>
          <w:ilvl w:val="1"/>
          <w:numId w:val="2"/>
        </w:numPr>
        <w:spacing w:after="80"/>
      </w:pPr>
      <w:r>
        <w:t xml:space="preserve">La </w:t>
      </w:r>
      <w:r>
        <w:rPr>
          <w:b/>
          <w:bCs/>
        </w:rPr>
        <w:t xml:space="preserve">TVA</w:t>
      </w:r>
      <w:r>
        <w:t xml:space="preserve"> : a priori réglée (une seule des quatre prestations qui la rendraient obligatoire — le linge — est fournie ; la nuit reste exonérée), mais à faire confirmer par le comptable avant la première facture. Attention si un jour petit-déjeuner + accueil sur place sont ajoutés : ça change le régime.</w:t>
      </w:r>
    </w:p>
    <w:p>
      <w:pPr>
        <w:pStyle w:val="ListParagraph"/>
        <w:numPr>
          <w:ilvl w:val="0"/>
          <w:numId w:val="2"/>
        </w:numPr>
        <w:spacing w:after="80"/>
      </w:pPr>
      <w:r>
        <w:rPr>
          <w:b/>
          <w:bCs/>
        </w:rPr>
        <w:t xml:space="preserve">Faire relire les pages légales par un juriste</w:t>
      </w:r>
      <w:r>
        <w:t xml:space="preserve"> avant ouverture : CGV, mentions légales et confidentialité sont un squelette conforme, pas un avis juridique.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60"/>
          <w:left w:type="dxa" w:w="200"/>
          <w:bottom w:type="dxa" w:w="160"/>
          <w:right w:type="dxa" w:w="200"/>
        </w:tblCellMar>
      </w:tblPr>
      <w:tblGrid>
        <w:gridCol w:w="9360"/>
      </w:tblGrid>
      <w:tr>
        <w:tc>
          <w:tcPr>
            <w:tcW w:type="dxa" w:w="9360"/>
            <w:tcBorders>
              <w:top w:val="single" w:color="9A7B3C" w:sz="4"/>
              <w:left w:val="single" w:color="9A7B3C" w:sz="24"/>
              <w:bottom w:val="single" w:color="9A7B3C" w:sz="4"/>
              <w:right w:val="single" w:color="9A7B3C" w:sz="4"/>
            </w:tcBorders>
            <w:shd w:fill="FBEDEC" w:val="clear"/>
          </w:tcPr>
          <w:p>
            <w:pPr>
              <w:spacing w:after="80"/>
            </w:pPr>
            <w:r>
              <w:rPr>
                <w:b/>
                <w:bCs/>
                <w:color w:val="B4232C"/>
              </w:rPr>
              <w:t xml:space="preserve">Rappel</w:t>
            </w:r>
          </w:p>
          <w:p>
            <w:pPr>
              <w:spacing w:after="40"/>
            </w:pPr>
            <w:r>
              <w:rPr>
                <w:sz w:val="21"/>
                <w:szCs w:val="21"/>
              </w:rPr>
              <w:t xml:space="preserve">Sans mentions légales, CGV, coordonnées et politique de remboursement accessibles publiquement, Stripe bloque le passage en mode production — les deux points ci-dessus et la section 1 sont donc liés.</w:t>
            </w:r>
          </w:p>
        </w:tc>
      </w:tr>
    </w:tbl>
    <w:p>
      <w:pPr>
        <w:pStyle w:val="Heading1"/>
      </w:pPr>
      <w:r>
        <w:t xml:space="preserve">3. Décisions à trancher maintenant</w:t>
      </w:r>
    </w:p>
    <w:p>
      <w:pPr>
        <w:spacing w:after="120"/>
      </w:pPr>
      <w:r>
        <w:t xml:space="preserve">Tout ce qui suit est écrit noir sur blanc dans le code ou les pages légales, mais avec une valeur provisoire. Rien de tout ça ne se devine : chaque ligne attend une réponse de Lenny.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3120"/>
        <w:gridCol w:w="3120"/>
        <w:gridCol w:w="3120"/>
      </w:tblGrid>
      <w:tr>
        <w:trPr>
          <w:tblHeader/>
        </w:trPr>
        <w:tc>
          <w:tcPr>
            <w:tcW w:type="dxa" w:w="3120"/>
            <w:tcBorders>
              <w:top w:val="single" w:color="D9D2C8" w:sz="2"/>
              <w:left w:val="single" w:color="D9D2C8" w:sz="2"/>
              <w:bottom w:val="single" w:color="D9D2C8" w:sz="2"/>
              <w:right w:val="single" w:color="D9D2C8" w:sz="2"/>
            </w:tcBorders>
            <w:shd w:fill="221B1D" w:val="clear"/>
            <w:vAlign w:val="center"/>
          </w:tcPr>
          <w:p>
            <w:r>
              <w:rPr>
                <w:b/>
                <w:bCs/>
                <w:color w:val="FFFFFF"/>
                <w:sz w:val="20"/>
                <w:szCs w:val="20"/>
              </w:rPr>
              <w:t xml:space="preserve">Sujet</w:t>
            </w:r>
          </w:p>
        </w:tc>
        <w:tc>
          <w:tcPr>
            <w:tcW w:type="dxa" w:w="3120"/>
            <w:tcBorders>
              <w:top w:val="single" w:color="D9D2C8" w:sz="2"/>
              <w:left w:val="single" w:color="D9D2C8" w:sz="2"/>
              <w:bottom w:val="single" w:color="D9D2C8" w:sz="2"/>
              <w:right w:val="single" w:color="D9D2C8" w:sz="2"/>
            </w:tcBorders>
            <w:shd w:fill="221B1D" w:val="clear"/>
            <w:vAlign w:val="center"/>
          </w:tcPr>
          <w:p>
            <w:r>
              <w:rPr>
                <w:b/>
                <w:bCs/>
                <w:color w:val="FFFFFF"/>
                <w:sz w:val="20"/>
                <w:szCs w:val="20"/>
              </w:rPr>
              <w:t xml:space="preserve">Valeur actuelle sur le site</w:t>
            </w:r>
          </w:p>
        </w:tc>
        <w:tc>
          <w:tcPr>
            <w:tcW w:type="dxa" w:w="3120"/>
            <w:tcBorders>
              <w:top w:val="single" w:color="D9D2C8" w:sz="2"/>
              <w:left w:val="single" w:color="D9D2C8" w:sz="2"/>
              <w:bottom w:val="single" w:color="D9D2C8" w:sz="2"/>
              <w:right w:val="single" w:color="D9D2C8" w:sz="2"/>
            </w:tcBorders>
            <w:shd w:fill="221B1D" w:val="clear"/>
            <w:vAlign w:val="center"/>
          </w:tcPr>
          <w:p>
            <w:r>
              <w:rPr>
                <w:b/>
                <w:bCs/>
                <w:color w:val="FFFFFF"/>
                <w:sz w:val="20"/>
                <w:szCs w:val="20"/>
              </w:rPr>
              <w:t xml:space="preserve">Où c'est écrit</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Heure d'arrivée</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Presque tout le site est déjà passé à 16 h (parcours, tableau de préparation, CGV, à-propos).</w:t>
            </w:r>
          </w:p>
          <w:p>
            <w:pPr>
              <w:spacing w:after="20"/>
            </w:pPr>
            <w:r>
              <w:rPr>
                <w:sz w:val="20"/>
                <w:szCs w:val="20"/>
              </w:rPr>
              <w:t xml:space="preserve">⚠️ Un reliquat à « 19 h » subsiste dans le texte envoyé à Stripe au moment du paiement — incohérent avec le reste tant que ce n'est pas corrigé.</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site/assets/js/parcours.js, orders.js, roue.js, cgv.html, api/create-stay-session.js</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Grille tarifaire de la nuitée</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Provisoire : 139 € semaine / 169 € week-end (relevé du marché love room au Mans, août 2026)</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site/.env.local</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Prix des 18 attentions (boutique)</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Provisoires : formules 49 € / 69 € / 89 €, options 12-89 €</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site/assets/js/products.js</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Délai « réservation tardive »</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Défaut proposé : 3 jours avant l'arrivée (fenêtre où Airbnb ne relit pas encore le calendrier)</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cgv.html — à compléter</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Délai de remboursement (annulation site / annulation vendeur)</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Défaut proposé : 14 jours maximum</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cgv.html — à compléter</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Conditions de report du séjour</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À écrire — exemple proposé : report sans frais jusqu'à 7 jours avant l'arrivée, sous réserve de disponibilité</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cgv.html — à compléter</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Délai d'annulation des attentions seules</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Défaut proposé : remboursées si annulées avant le début de la préparation, ex. 10 h le jour de l'arrivée</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cgv.html — à compléter</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Horaires de tranquillité / règles de voisinage</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Non écrit</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cgv.html — à compléter</w:t>
            </w:r>
          </w:p>
        </w:tc>
      </w:tr>
      <w:tr>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Accroche marketing</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Site : « Parce que les plus beaux souvenirs se cachent dans les détails. » — les pochons livrés portent une autre phrase : « Les détails font les grands souvenirs… »</w:t>
            </w:r>
          </w:p>
        </w:tc>
        <w:tc>
          <w:tcPr>
            <w:tcW w:type="dxa" w:w="3120"/>
            <w:tcBorders>
              <w:top w:val="single" w:color="D9D2C8" w:sz="2"/>
              <w:left w:val="single" w:color="D9D2C8" w:sz="2"/>
              <w:bottom w:val="single" w:color="D9D2C8" w:sz="2"/>
              <w:right w:val="single" w:color="D9D2C8" w:sz="2"/>
            </w:tcBorders>
            <w:vAlign w:val="center"/>
          </w:tcPr>
          <w:p>
            <w:pPr>
              <w:spacing w:after="20"/>
            </w:pPr>
            <w:r>
              <w:rPr>
                <w:sz w:val="20"/>
                <w:szCs w:val="20"/>
              </w:rPr>
              <w:t xml:space="preserve">À choisir une seule version, partout</w:t>
            </w:r>
          </w:p>
        </w:tc>
      </w:tr>
    </w:tbl>
    <w:p>
      <w:pPr>
        <w:spacing w:after="120"/>
      </w:pPr>
      <w:r>
        <w:t xml:space="preserve"/>
      </w:r>
    </w:p>
    <w:p>
      <w:pPr>
        <w:spacing w:after="120"/>
      </w:pPr>
      <w:r>
        <w:rPr>
          <w:i/>
          <w:iCs/>
          <w:color w:val="555555"/>
          <w:sz w:val="20"/>
          <w:szCs w:val="20"/>
        </w:rPr>
        <w:t xml:space="preserve">Trois questions rapides pour la FAQ (réponses rédigées de mémoire, à confirmer) :</w:t>
      </w:r>
    </w:p>
    <w:p>
      <w:pPr>
        <w:pStyle w:val="ListParagraph"/>
        <w:numPr>
          <w:ilvl w:val="0"/>
          <w:numId w:val="2"/>
        </w:numPr>
        <w:spacing w:after="80"/>
      </w:pPr>
      <w:r>
        <w:t xml:space="preserve">Y a-t-il bien un réfrigérateur dans la suite (la FAQ dit que oui) ?</w:t>
      </w:r>
    </w:p>
    <w:p>
      <w:pPr>
        <w:pStyle w:val="ListParagraph"/>
        <w:numPr>
          <w:ilvl w:val="0"/>
          <w:numId w:val="2"/>
        </w:numPr>
        <w:spacing w:after="80"/>
      </w:pPr>
      <w:r>
        <w:t xml:space="preserve">Le seau à champagne et les flûtes annoncés sont-ils réellement fournis ?</w:t>
      </w:r>
    </w:p>
    <w:p>
      <w:pPr>
        <w:pStyle w:val="ListParagraph"/>
        <w:numPr>
          <w:ilvl w:val="0"/>
          <w:numId w:val="2"/>
        </w:numPr>
        <w:spacing w:after="80"/>
      </w:pPr>
      <w:r>
        <w:t xml:space="preserve">Deux commandes passées au même nom pour le même séjour sont-elles bien regroupées à la préparation ?</w:t>
      </w:r>
    </w:p>
    <w:p>
      <w:pPr>
        <w:pStyle w:val="Heading1"/>
      </w:pPr>
      <w:r>
        <w:t xml:space="preserve">4. Sujet à traiter avec attention — l'espace Intense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60"/>
          <w:left w:type="dxa" w:w="200"/>
          <w:bottom w:type="dxa" w:w="160"/>
          <w:right w:type="dxa" w:w="200"/>
        </w:tblCellMar>
      </w:tblPr>
      <w:tblGrid>
        <w:gridCol w:w="9360"/>
      </w:tblGrid>
      <w:tr>
        <w:tc>
          <w:tcPr>
            <w:tcW w:type="dxa" w:w="9360"/>
            <w:tcBorders>
              <w:top w:val="single" w:color="B4232C" w:sz="4"/>
              <w:left w:val="single" w:color="B4232C" w:sz="24"/>
              <w:bottom w:val="single" w:color="B4232C" w:sz="4"/>
              <w:right w:val="single" w:color="B4232C" w:sz="4"/>
            </w:tcBorders>
            <w:shd w:fill="FBEDEC" w:val="clear"/>
          </w:tcPr>
          <w:p>
            <w:pPr>
              <w:spacing w:after="80"/>
            </w:pPr>
            <w:r>
              <w:rPr>
                <w:b/>
                <w:bCs/>
                <w:color w:val="B4232C"/>
              </w:rPr>
              <w:t xml:space="preserve">Contradiction factuelle trouvée dans les nouvelles photos (7 septembre)</w:t>
            </w:r>
          </w:p>
          <w:p>
            <w:pPr>
              <w:spacing w:after="40"/>
            </w:pPr>
            <w:r>
              <w:rPr>
                <w:sz w:val="21"/>
                <w:szCs w:val="21"/>
              </w:rPr>
              <w:t xml:space="preserve">Les photos livrées montrent la croix de contention sur un pied triangulaire autoportant. Le site affirme six fois — dont dans les CGV — qu'elle est « fixée au mur » et ne peut pas être démontée. C'est cet argument qui justifie de ne pas proposer de la retirer. Lenny doit dire laquelle des deux situations est réelle ; le site sera corrigé en conséquence.</w:t>
            </w:r>
          </w:p>
        </w:tc>
      </w:tr>
    </w:tbl>
    <w:p>
      <w:pPr>
        <w:pStyle w:val="ListParagraph"/>
        <w:numPr>
          <w:ilvl w:val="0"/>
          <w:numId w:val="2"/>
        </w:numPr>
        <w:spacing w:after="80"/>
      </w:pPr>
      <w:r>
        <w:rPr>
          <w:b/>
          <w:bCs/>
        </w:rPr>
        <w:t xml:space="preserve">Protocole d'hygiène</w:t>
      </w:r>
      <w:r>
        <w:t xml:space="preserve"> de l'équipement de contention, et produits utilisés — à décrire.</w:t>
      </w:r>
    </w:p>
    <w:p>
      <w:pPr>
        <w:pStyle w:val="ListParagraph"/>
        <w:numPr>
          <w:ilvl w:val="0"/>
          <w:numId w:val="2"/>
        </w:numPr>
        <w:spacing w:after="80"/>
      </w:pPr>
      <w:r>
        <w:t xml:space="preserve">Les housses de poignets sont-elles </w:t>
      </w:r>
      <w:r>
        <w:rPr>
          <w:b/>
          <w:bCs/>
        </w:rPr>
        <w:t xml:space="preserve">remplacées ou lavées</w:t>
      </w:r>
      <w:r>
        <w:t xml:space="preserve"> à chaque séjour ?</w:t>
      </w:r>
    </w:p>
    <w:p>
      <w:pPr>
        <w:pStyle w:val="ListParagraph"/>
        <w:numPr>
          <w:ilvl w:val="0"/>
          <w:numId w:val="2"/>
        </w:numPr>
        <w:spacing w:after="80"/>
      </w:pPr>
      <w:r>
        <w:rPr>
          <w:b/>
          <w:bCs/>
        </w:rPr>
        <w:t xml:space="preserve">Charge maximale de la croix</w:t>
      </w:r>
      <w:r>
        <w:t xml:space="preserve"> annoncée par le fabricant — à indiquer.</w:t>
      </w:r>
    </w:p>
    <w:p>
      <w:pPr>
        <w:pStyle w:val="ListParagraph"/>
        <w:numPr>
          <w:ilvl w:val="0"/>
          <w:numId w:val="2"/>
        </w:numPr>
        <w:spacing w:after="80"/>
      </w:pPr>
      <w:r>
        <w:t xml:space="preserve">Une </w:t>
      </w:r>
      <w:r>
        <w:rPr>
          <w:b/>
          <w:bCs/>
        </w:rPr>
        <w:t xml:space="preserve">photo de l'espace Intense</w:t>
      </w:r>
      <w:r>
        <w:t xml:space="preserve"> reste à faire : cadrage serré, lumière tamisée, jamais explicite (emplacement déjà réservé sur la page).</w:t>
      </w:r>
    </w:p>
    <w:p>
      <w:pPr>
        <w:pStyle w:val="ListParagraph"/>
        <w:numPr>
          <w:ilvl w:val="0"/>
          <w:numId w:val="2"/>
        </w:numPr>
        <w:spacing w:after="80"/>
      </w:pPr>
      <w:r>
        <w:rPr>
          <w:b/>
          <w:bCs/>
        </w:rPr>
        <w:t xml:space="preserve">Stripe</w:t>
      </w:r>
      <w:r>
        <w:t xml:space="preserve"> : faire valider l'activité par écrit avant la mise en ligne. Rien n'est vendu sur cette page, mais un site associé à du matériel BDSM peut déclencher une revue de compte.</w:t>
      </w:r>
    </w:p>
    <w:p>
      <w:pPr>
        <w:pStyle w:val="ListParagraph"/>
        <w:numPr>
          <w:ilvl w:val="0"/>
          <w:numId w:val="2"/>
        </w:numPr>
        <w:spacing w:after="80"/>
      </w:pPr>
      <w:r>
        <w:rPr>
          <w:b/>
          <w:bCs/>
        </w:rPr>
        <w:t xml:space="preserve">Assurance</w:t>
      </w:r>
      <w:r>
        <w:t xml:space="preserve"> : vérifier que la RC pro couvre bien l'équipement de contention et la croix murale.</w:t>
      </w:r>
    </w:p>
    <w:p>
      <w:pPr>
        <w:pStyle w:val="Heading1"/>
      </w:pPr>
      <w:r>
        <w:t xml:space="preserve">5. Photos</w:t>
      </w:r>
    </w:p>
    <w:p>
      <w:pPr>
        <w:pStyle w:val="ListParagraph"/>
        <w:numPr>
          <w:ilvl w:val="0"/>
          <w:numId w:val="2"/>
        </w:numPr>
        <w:spacing w:after="80"/>
      </w:pPr>
      <w:r>
        <w:rPr>
          <w:b/>
          <w:bCs/>
        </w:rPr>
        <w:t xml:space="preserve">17 des 18 produits n'ont pas de vraie photo.</w:t>
      </w:r>
      <w:r>
        <w:t xml:space="preserve"> Seuls les pochons satin de la marque sont réels ; tout le reste attend un cliché au téléphone. Ordre de priorité (impact sur le panier moyen) :</w:t>
      </w:r>
    </w:p>
    <w:p>
      <w:pPr>
        <w:pStyle w:val="ListParagraph"/>
        <w:numPr>
          <w:ilvl w:val="1"/>
          <w:numId w:val="2"/>
        </w:numPr>
        <w:spacing w:after="80"/>
      </w:pPr>
      <w:r>
        <w:t xml:space="preserve">Les 4 packs restants : Planche &amp; Champagne, Planche &amp; Vin, Double Bulles, Anniversaire</w:t>
      </w:r>
    </w:p>
    <w:p>
      <w:pPr>
        <w:pStyle w:val="ListParagraph"/>
        <w:numPr>
          <w:ilvl w:val="1"/>
          <w:numId w:val="2"/>
        </w:numPr>
        <w:spacing w:after="80"/>
      </w:pPr>
      <w:r>
        <w:t xml:space="preserve">Pétales de roses et décoration romantique — les deux options les plus achetées sur ce marché</w:t>
      </w:r>
    </w:p>
    <w:p>
      <w:pPr>
        <w:pStyle w:val="ListParagraph"/>
        <w:numPr>
          <w:ilvl w:val="1"/>
          <w:numId w:val="2"/>
        </w:numPr>
        <w:spacing w:after="80"/>
      </w:pPr>
      <w:r>
        <w:t xml:space="preserve">Le champagne seul et la planche seule</w:t>
      </w:r>
    </w:p>
    <w:p>
      <w:pPr>
        <w:pStyle w:val="ListParagraph"/>
        <w:numPr>
          <w:ilvl w:val="0"/>
          <w:numId w:val="2"/>
        </w:numPr>
        <w:spacing w:after="80"/>
      </w:pPr>
      <w:r>
        <w:rPr>
          <w:b/>
          <w:bCs/>
        </w:rPr>
        <w:t xml:space="preserve">Reprendre la photo de la chambre</w:t>
      </w:r>
      <w:r>
        <w:t xml:space="preserve"> (hero du site, vue par 100 % des visiteurs) : lit fait au carré, drap tiré, table débarrassée, câble du plafond retiré, volets fermés, prise de nuit avec le néon allumé — les défauts actuels (lit défait, bouteille en plastique, câble nu, fenêtre brûlée en plein jour) restent visibles en grand écran.</w:t>
      </w:r>
    </w:p>
    <w:p>
      <w:pPr>
        <w:pStyle w:val="ListParagraph"/>
        <w:numPr>
          <w:ilvl w:val="0"/>
          <w:numId w:val="2"/>
        </w:numPr>
        <w:spacing w:after="80"/>
      </w:pPr>
      <w:r>
        <w:t xml:space="preserve">Le pack </w:t>
      </w:r>
      <w:r>
        <w:rPr>
          <w:b/>
          <w:bCs/>
        </w:rPr>
        <w:t xml:space="preserve">Anniversaire</w:t>
      </w:r>
      <w:r>
        <w:t xml:space="preserve"> doit être photographié pour de vrai (pas généré) : c'est la chambre décorée qui est le produit, un client venu depuis l'annonce Airbnb doit reconnaître le lieu.</w:t>
      </w:r>
    </w:p>
    <w:p>
      <w:pPr>
        <w:pStyle w:val="Heading1"/>
      </w:pPr>
      <w:r>
        <w:t xml:space="preserve">6. Airbnb — le jour de l'ouverture</w:t>
      </w:r>
    </w:p>
    <w:p>
      <w:pPr>
        <w:pStyle w:val="ListParagraph"/>
        <w:numPr>
          <w:ilvl w:val="0"/>
          <w:numId w:val="2"/>
        </w:numPr>
        <w:spacing w:after="80"/>
      </w:pPr>
      <w:r>
        <w:rPr>
          <w:b/>
          <w:bCs/>
        </w:rPr>
        <w:t xml:space="preserve">Récupérer le lien d'export du calendrier Airbnb</w:t>
      </w:r>
      <w:r>
        <w:t xml:space="preserve"> : dans l'annonce → Disponibilités → Synchroniser les calendriers → Exporter. Copier le lien.</w:t>
      </w:r>
    </w:p>
    <w:p>
      <w:pPr>
        <w:pStyle w:val="ListParagraph"/>
        <w:numPr>
          <w:ilvl w:val="0"/>
          <w:numId w:val="2"/>
        </w:numPr>
        <w:spacing w:after="80"/>
      </w:pPr>
      <w:r>
        <w:t xml:space="preserve">Le coller dans </w:t>
      </w:r>
      <w:r>
        <w:rPr>
          <w:b/>
          <w:bCs/>
        </w:rPr>
        <w:t xml:space="preserve">AIRBNB_ICAL_URL</w:t>
      </w:r>
      <w:r>
        <w:t xml:space="preserve"> côté site.</w:t>
      </w:r>
    </w:p>
    <w:p>
      <w:pPr>
        <w:pStyle w:val="ListParagraph"/>
        <w:numPr>
          <w:ilvl w:val="0"/>
          <w:numId w:val="2"/>
        </w:numPr>
        <w:spacing w:after="80"/>
      </w:pPr>
      <w:r>
        <w:t xml:space="preserve">En sens inverse, coller </w:t>
      </w:r>
      <w:r>
        <w:rPr>
          <w:b/>
          <w:bCs/>
        </w:rPr>
        <w:t xml:space="preserve">https://&lt;domaine&gt;/api/calendar</w:t>
      </w:r>
      <w:r>
        <w:t xml:space="preserve"> dans Airbnb → Synchroniser les calendriers → Importer (lien donné une fois le site en ligne). À partir de là, une nuit vendue d'un côté se bloque de l'autre, automatiquement.</w:t>
      </w:r>
    </w:p>
    <w:p>
      <w:pPr>
        <w:pStyle w:val="ListParagraph"/>
        <w:numPr>
          <w:ilvl w:val="0"/>
          <w:numId w:val="2"/>
        </w:numPr>
        <w:spacing w:after="80"/>
      </w:pPr>
      <w:r>
        <w:t xml:space="preserve">⚠️ À faire le jour même de la connexion : </w:t>
      </w:r>
      <w:r>
        <w:rPr>
          <w:b/>
          <w:bCs/>
        </w:rPr>
        <w:t xml:space="preserve">remonter le prix affiché d'environ 15 %</w:t>
      </w:r>
      <w:r>
        <w:t xml:space="preserve"> côté Airbnb. Brancher un calendrier partagé fait basculer en frais « host-only » (15,5 % HT à la charge de l'hôte). C'est neutre à ~1,5 % près si le prix est ajusté ce jour-là — en l'oubliant, Lenny perd environ 12,50 € par nuit à 100 €.</w:t>
      </w:r>
    </w:p>
    <w:p>
      <w:pPr>
        <w:pStyle w:val="Heading1"/>
      </w:pPr>
      <w:r>
        <w:t xml:space="preserve">7. Accès au tableau de préparation (/preparer.html)</w:t>
      </w:r>
    </w:p>
    <w:p>
      <w:pPr>
        <w:pStyle w:val="ListParagraph"/>
        <w:numPr>
          <w:ilvl w:val="0"/>
          <w:numId w:val="2"/>
        </w:numPr>
        <w:spacing w:after="80"/>
      </w:pPr>
      <w:r>
        <w:t xml:space="preserve">Donner </w:t>
      </w:r>
      <w:r>
        <w:rPr>
          <w:b/>
          <w:bCs/>
        </w:rPr>
        <w:t xml:space="preserve">l'adresse (ou les adresses) e-mail</w:t>
      </w:r>
      <w:r>
        <w:t xml:space="preserve"> autorisées à ouvrir le tableau de bord — à mettre dans </w:t>
      </w:r>
      <w:r>
        <w:rPr>
          <w:b/>
          <w:bCs/>
        </w:rPr>
        <w:t xml:space="preserve">ADMIN_EMAILS</w:t>
      </w:r>
      <w:r>
        <w:t xml:space="preserve">. L'hôte tape son adresse, reçoit un lien à usage unique valable 15 minutes, puis reste connecté 7 jours. Aucun mot de passe n'existe : rien à voler, rien à retenir.</w:t>
      </w:r>
    </w:p>
    <w:p>
      <w:pPr>
        <w:pStyle w:val="ListParagraph"/>
        <w:numPr>
          <w:ilvl w:val="0"/>
          <w:numId w:val="2"/>
        </w:numPr>
        <w:spacing w:after="80"/>
      </w:pPr>
      <w:r>
        <w:t xml:space="preserve">En attendant que Resend soit branché, un secret de repli (</w:t>
      </w:r>
      <w:r>
        <w:rPr>
          <w:b/>
          <w:bCs/>
        </w:rPr>
        <w:t xml:space="preserve">PREPARER_SECRET</w:t>
      </w:r>
      <w:r>
        <w:t xml:space="preserve">) peut être généré aléatoirement (par ex. avec </w:t>
      </w:r>
      <w:r>
        <w:rPr>
          <w:b/>
          <w:bCs/>
        </w:rPr>
        <w:t xml:space="preserve">openssl rand -base64 24</w:t>
      </w:r>
      <w:r>
        <w:t xml:space="preserve">) — à vider dès que la connexion par lien e-mail fonctionne.</w:t>
      </w:r>
    </w:p>
    <w:p>
      <w:pPr>
        <w:pStyle w:val="Heading1"/>
      </w:pPr>
      <w:r>
        <w:t xml:space="preserve">Par où commencer</w:t>
      </w:r>
    </w:p>
    <w:p>
      <w:pPr>
        <w:pStyle w:val="ListParagraph"/>
        <w:numPr>
          <w:ilvl w:val="0"/>
          <w:numId w:val="2"/>
        </w:numPr>
        <w:spacing w:after="80"/>
      </w:pPr>
      <w:r>
        <w:rPr>
          <w:b/>
          <w:bCs/>
        </w:rPr>
        <w:t xml:space="preserve">1.</w:t>
      </w:r>
      <w:r>
        <w:t xml:space="preserve"> Stripe + Resend (avec domaine vérifié) — rien ne peut ouvrir sans ça.</w:t>
      </w:r>
    </w:p>
    <w:p>
      <w:pPr>
        <w:pStyle w:val="ListParagraph"/>
        <w:numPr>
          <w:ilvl w:val="0"/>
          <w:numId w:val="2"/>
        </w:numPr>
        <w:spacing w:after="80"/>
      </w:pPr>
      <w:r>
        <w:rPr>
          <w:b/>
          <w:bCs/>
        </w:rPr>
        <w:t xml:space="preserve">2.</w:t>
      </w:r>
      <w:r>
        <w:t xml:space="preserve"> Les quatre démarches légales obligatoires (mairie, médiateur, assureur, adresse) + le rendez-vous comptable pour la SCI.</w:t>
      </w:r>
    </w:p>
    <w:p>
      <w:pPr>
        <w:pStyle w:val="ListParagraph"/>
        <w:numPr>
          <w:ilvl w:val="0"/>
          <w:numId w:val="2"/>
        </w:numPr>
        <w:spacing w:after="80"/>
      </w:pPr>
      <w:r>
        <w:rPr>
          <w:b/>
          <w:bCs/>
        </w:rPr>
        <w:t xml:space="preserve">3.</w:t>
      </w:r>
      <w:r>
        <w:t xml:space="preserve"> Trancher les prix (nuitée + attentions) et les décisions de la section 3.</w:t>
      </w:r>
    </w:p>
    <w:p>
      <w:pPr>
        <w:pStyle w:val="ListParagraph"/>
        <w:numPr>
          <w:ilvl w:val="0"/>
          <w:numId w:val="2"/>
        </w:numPr>
        <w:spacing w:after="80"/>
      </w:pPr>
      <w:r>
        <w:rPr>
          <w:b/>
          <w:bCs/>
        </w:rPr>
        <w:t xml:space="preserve">4.</w:t>
      </w:r>
      <w:r>
        <w:t xml:space="preserve"> Les photos manquantes, en particulier les 4 packs et la reprise de la photo de la chambre.</w:t>
      </w:r>
    </w:p>
    <w:p>
      <w:pPr>
        <w:pStyle w:val="ListParagraph"/>
        <w:numPr>
          <w:ilvl w:val="0"/>
          <w:numId w:val="2"/>
        </w:numPr>
        <w:spacing w:after="80"/>
      </w:pPr>
      <w:r>
        <w:rPr>
          <w:b/>
          <w:bCs/>
        </w:rPr>
        <w:t xml:space="preserve">5.</w:t>
      </w:r>
      <w:r>
        <w:t xml:space="preserve"> Airbnb, une fois le site en ligne.</w:t>
      </w:r>
    </w:p>
    <w:p>
      <w:pPr>
        <w:spacing w:after="120"/>
      </w:pPr>
      <w:r>
        <w:t xml:space="preserve"/>
      </w:r>
    </w:p>
    <w:p>
      <w:pPr>
        <w:spacing w:after="120"/>
      </w:pPr>
      <w:r>
        <w:rPr>
          <w:i/>
          <w:iCs/>
          <w:color w:val="555555"/>
          <w:sz w:val="20"/>
          <w:szCs w:val="20"/>
        </w:rPr>
        <w:t xml:space="preserve">Le reste (section 4, sujet Intense) peut avancer en parallèle, mais rien de cette section ne doit rester en suspens avant la mise en ligne publique.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lvl>
    <w:lvl w:ilvl="1" w15:tentative="1">
      <w:start w:val="1"/>
      <w:numFmt w:val="bullet"/>
      <w:lvlText w:val="–"/>
      <w:lvlJc w:val="left"/>
      <w:pPr>
        <w:ind w:left="8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before="0"/>
      <w:jc w:val="left"/>
    </w:pPr>
    <w:rPr>
      <w:rFonts w:ascii="Calibri" w:cs="Calibri" w:eastAsia="Calibri" w:hAnsi="Calibri"/>
      <w:b/>
      <w:bCs/>
      <w:color w:val="1A1A1A"/>
      <w:sz w:val="44"/>
      <w:szCs w:val="44"/>
    </w:rPr>
  </w:style>
  <w:style w:type="paragraph" w:styleId="Heading1">
    <w:name w:val="Heading 1"/>
    <w:basedOn w:val="Normal"/>
    <w:next w:val="Normal"/>
    <w:qFormat/>
    <w:pPr>
      <w:pBdr>
        <w:bottom w:val="single" w:color="E5DED3" w:sz="6"/>
      </w:pBdr>
      <w:spacing w:after="160" w:before="420"/>
      <w:outlineLvl w:val="0"/>
    </w:pPr>
    <w:rPr>
      <w:rFonts w:ascii="Calibri" w:cs="Calibri" w:eastAsia="Calibri" w:hAnsi="Calibri"/>
      <w:b/>
      <w:bCs/>
      <w:color w:val="B4232C"/>
      <w:sz w:val="28"/>
      <w:szCs w:val="28"/>
    </w:rPr>
  </w:style>
  <w:style w:type="paragraph" w:styleId="Heading2">
    <w:name w:val="Heading 2"/>
    <w:basedOn w:val="Normal"/>
    <w:next w:val="Normal"/>
    <w:qFormat/>
    <w:pPr>
      <w:spacing w:after="100" w:before="220"/>
      <w:outlineLvl w:val="1"/>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2026-09-12T13:05:40.646Z</dcterms:created>
  <dcterms:modified xsi:type="dcterms:W3CDTF">2026-09-12T13:05:40.647Z</dcterms:modified>
</cp:coreProperties>
</file>

<file path=docProps/custom.xml><?xml version="1.0" encoding="utf-8"?>
<Properties xmlns="http://schemas.openxmlformats.org/officeDocument/2006/custom-properties" xmlns:vt="http://schemas.openxmlformats.org/officeDocument/2006/docPropsVTypes"/>
</file>