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Collate</w:t>
      </w:r>
      <w:r>
        <w:t xml:space="preserve"> </w:t>
      </w:r>
      <w:r>
        <w:t xml:space="preserve">all</w:t>
      </w:r>
      <w:r>
        <w:t xml:space="preserve"> </w:t>
      </w:r>
      <w:r>
        <w:t xml:space="preserve">results</w:t>
      </w:r>
    </w:p>
    <w:p>
      <w:pPr>
        <w:pStyle w:val="Author"/>
      </w:pPr>
      <w:r>
        <w:t xml:space="preserve">Alex</w:t>
      </w:r>
      <w:r>
        <w:t xml:space="preserve"> </w:t>
      </w:r>
      <w:r>
        <w:t xml:space="preserve">Pate</w:t>
      </w:r>
    </w:p>
    <w:p>
      <w:pPr>
        <w:pStyle w:val="Date"/>
      </w:pPr>
      <w:r>
        <w:t xml:space="preserve">2025-05-14</w:t>
      </w:r>
    </w:p>
    <w:p>
      <w:pPr>
        <w:pStyle w:val="Compact"/>
        <w:numPr>
          <w:numId w:val="1001"/>
          <w:ilvl w:val="0"/>
        </w:numPr>
      </w:pPr>
      <w:r>
        <w:t xml:space="preserve">Model 0 = Non-causal model</w:t>
      </w:r>
    </w:p>
    <w:p>
      <w:pPr>
        <w:pStyle w:val="Compact"/>
        <w:numPr>
          <w:numId w:val="1001"/>
          <w:ilvl w:val="0"/>
        </w:numPr>
      </w:pPr>
      <w:r>
        <w:t xml:space="preserve">Model 1 = fix effect for antihypertensive use at baseline and during followup.</w:t>
      </w:r>
    </w:p>
    <w:p>
      <w:pPr>
        <w:pStyle w:val="Compact"/>
        <w:numPr>
          <w:numId w:val="1001"/>
          <w:ilvl w:val="0"/>
        </w:numPr>
      </w:pPr>
      <w:r>
        <w:t xml:space="preserve">Model 2 = fix effect for antihypertensive use at baseline and during followup, and model SBP unexposed to antihypertensive treatment.</w:t>
      </w:r>
    </w:p>
    <w:p>
      <w:pPr>
        <w:pStyle w:val="Compact"/>
        <w:numPr>
          <w:numId w:val="1001"/>
          <w:ilvl w:val="0"/>
        </w:numPr>
      </w:pPr>
      <w:r>
        <w:t xml:space="preserve">Model 3 = fix effect for BMI, SBP and Non-HDL cholesterol at baseline, fix effect for change in statin or antihypertensive use during followup.</w:t>
      </w:r>
    </w:p>
    <w:p>
      <w:pPr>
        <w:pStyle w:val="Compact"/>
        <w:numPr>
          <w:numId w:val="1001"/>
          <w:ilvl w:val="0"/>
        </w:numPr>
      </w:pPr>
      <w:r>
        <w:t xml:space="preserve">Model 4 = fix effect for change in statin or antihypertensive use during followup (model sbp/bmi/non-hdl cholesterol flexibly, intervention layer would follow.)</w:t>
      </w:r>
    </w:p>
    <w:p>
      <w:pPr>
        <w:pStyle w:val="Compact"/>
        <w:numPr>
          <w:numId w:val="1001"/>
          <w:ilvl w:val="0"/>
        </w:numPr>
      </w:pPr>
      <w:r>
        <w:t xml:space="preserve">Model 5 = fix effect for SBP at baseline, fix effect for change in statin or antihypertensive use during followup.</w:t>
      </w:r>
    </w:p>
    <w:p>
      <w:pPr>
        <w:pStyle w:val="Compact"/>
        <w:numPr>
          <w:numId w:val="1001"/>
          <w:ilvl w:val="0"/>
        </w:numPr>
      </w:pPr>
      <w:r>
        <w:t xml:space="preserve">Model 6 = fix effect for BMI at baseline, fix effect for change in statin or antihypertensive use during followup.</w:t>
      </w:r>
    </w:p>
    <w:p>
      <w:pPr>
        <w:pStyle w:val="Compact"/>
        <w:numPr>
          <w:numId w:val="1001"/>
          <w:ilvl w:val="0"/>
        </w:numPr>
      </w:pPr>
      <w:r>
        <w:t xml:space="preserve">Model 7 = fix effect for Non-HDL cholesterol at baseline, fix effect for change in statin or antihypertensive use during followup.</w:t>
      </w:r>
    </w:p>
    <w:p>
      <w:pPr>
        <w:pStyle w:val="Heading1"/>
      </w:pPr>
      <w:bookmarkStart w:id="21" w:name="baseline-information"/>
      <w:bookmarkEnd w:id="21"/>
      <w:r>
        <w:t xml:space="preserve">Baseline information</w:t>
      </w:r>
    </w:p>
    <w:p>
      <w:pPr>
        <w:pStyle w:val="Heading2"/>
      </w:pPr>
      <w:bookmarkStart w:id="22" w:name="entire-cohort"/>
      <w:bookmarkEnd w:id="22"/>
      <w:r>
        <w:t xml:space="preserve">Entire cohort</w:t>
      </w:r>
    </w:p>
    <w:p>
      <w:r>
        <w:t xml:space="preserve">Baseline information</w:t>
      </w:r>
    </w:p>
    <w:p>
      <w:pPr>
        <w:pStyle w:val="SourceCode"/>
      </w:pPr>
      <w:r>
        <w:rPr>
          <w:rStyle w:val="VerbatimChar"/>
        </w:rPr>
        <w:t xml:space="preserve">&lt;w:tbl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xmlns:w14="http://schemas.microsoft.com/office/word/2010/wordml"&gt;&lt;w:tblPr&gt;&lt;w:tblCellMar&gt;&lt;w:top w:w="0" w:type="dxa"&gt;&lt;/w:top&gt;&lt;w:bottom w:w="0" w:type="dxa"&gt;&lt;/w:bottom&gt;&lt;w:start w:w="60" w:type="dxa"&gt;&lt;/w:start&gt;&lt;w:end w:w="60" w:type="dxa"&gt;&lt;/w:end&gt;&lt;/w:tblCellMar&gt;&lt;w:tblW w:type="auto" w:w="0"&gt;&lt;/w:tblW&gt;&lt;w:tblLook w:firstRow="0" w:lastRow="0" w:firstColumn="0" w:lastColumn="0" w:noHBand="0" w:noVBand="0"&gt;&lt;/w:tblLook&gt;&lt;w:jc w:val="center"&gt;&lt;/w:jc&gt;&lt;/w:tblPr&gt;&lt;w:tr&gt;&lt;w:trPr&gt;&lt;w:cantSplit&gt;&lt;/w:cantSplit&gt;&lt;w:tblHeader&gt;&lt;/w:tblHeader&gt;&lt;/w:trPr&gt;&lt;w:tc&gt;&lt;w:tcPr&gt;&lt;w:tcBorders&gt;&lt;w:top w:val="single" w:sz="16" w:space="0" w:color="D3D3D3"&gt;&lt;/w:top&gt;&lt;w:bottom w:val="single" w:sz="16" w:space="0" w:color="D3D3D3"&gt;&lt;/w:bottom&gt;&lt;w:start w:val="single" w:space="0" w:color="D3D3D3"&gt;&lt;/w:start&gt;&lt;/w:tcBorders&gt;&lt;/w:tcPr&gt;&lt;w:p&gt;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xml:space="preserve"&gt;Characteristic&lt;/w:t&gt;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w:sz="16" w:space="0" w:color="D3D3D3"&gt;&lt;/w:top&gt;&lt;w:bottom w:val="single" w:sz="16" w:space="0" w:color="D3D3D3"&gt;&lt;/w:bottom&gt;&lt;/w:tcBorders&gt;&lt;/w:tcPr&gt;&lt;w:p&gt;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xml:space="preserve"&gt;Male&lt;/w:t&gt;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 xmlns:w="http://schemas.openxmlformats.org/wordprocessingml/2006/main"&gt;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 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xml:space="preserve"&gt;N = 2,000,000&lt;/w:t&gt;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w:sz="16" w:space="0" w:color="D3D3D3"&gt;&lt;/w:top&gt;&lt;w:bottom w:val="single" w:sz="16" w:space="0" w:color="D3D3D3"&gt;&lt;/w:bottom&gt;&lt;w:end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xml:space="preserve"&gt;Female&lt;/w:t&gt;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 xmlns:w="http://schemas.openxmlformats.org/wordprocessingml/2006/main"&gt;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 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xml:space="preserve"&gt;N = 2,000,000&lt;/w:t&gt;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xml:space="default"&gt;age&lt;/w:t&gt;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xml:space="default"&gt;35 (18, 25, 48, 69)&lt;/w:t&gt;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xml:space="default"&gt;34 (18, 25, 49, 73)&lt;/w:t&gt;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xml:space="default"&gt;0 (0%)&lt;/w:t&gt;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xml:space="default"&gt;0 (0%)&lt;/w:t&gt;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xml:space="default"&gt;ethnicity&lt;/w:t&gt;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bangladeshi&lt;/w:t&gt;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xml:space="default"&gt;14,506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xml:space="default"&gt;12,242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black african&lt;/w:t&gt;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xml:space="default"&gt;48,277 (2.4%)&lt;/w:t&gt;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xml:space="default"&gt;52,568 (2.6%)&lt;/w:t&gt;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black caribbean&lt;/w:t&gt;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xml:space="default"&gt;20,937 (1.0%)&lt;/w:t&gt;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xml:space="default"&gt;24,747 (1.2%)&lt;/w:t&gt;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chinese&lt;/w:t&gt;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xml:space="default"&gt;23,290 (1.2%)&lt;/w:t&gt;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xml:space="default"&gt;33,083 (1.7%)&lt;/w:t&gt;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indian&lt;/w:t&gt;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xml:space="default"&gt;56,195 (2.8%)&lt;/w:t&gt;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xml:space="default"&gt;53,243 (2.7%)&lt;/w:t&gt;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other asian&lt;/w:t&gt;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xml:space="default"&gt;44,646 (2.2%)&lt;/w:t&gt;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xml:space="default"&gt;43,692 (2.2%)&lt;/w:t&gt;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other ethnic&lt;/w:t&gt;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xml:space="default"&gt;89,503 (4.5%)&lt;/w:t&gt;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xml:space="default"&gt;98,187 (4.9%)&lt;/w:t&gt;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pakistani&lt;/w:t&gt;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xml:space="default"&gt;33,170 (1.7%)&lt;/w:t&gt;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xml:space="default"&gt;28,497 (1.4%)&lt;/w:t&gt;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white&lt;/w:t&gt;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xml:space="default"&gt;1,248,769 (62%)&lt;/w:t&gt;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xml:space="default"&gt;1,417,417 (71%)&lt;/w:t&gt;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Missing&lt;/w:t&gt;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xml:space="default"&gt;420,707 (21%)&lt;/w:t&gt;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xml:space="default"&gt;236,324 (12%)&lt;/w:t&gt;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xml:space="default"&gt;hypertension&lt;/w:t&gt;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xml:space="default"&gt;147,779 (7.4%)&lt;/w:t&gt;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xml:space="default"&gt;170,527 (8.5%)&lt;/w:t&gt;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xml:space="default"&gt;ra&lt;/w:t&gt;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xml:space="default"&gt;4,901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xml:space="default"&gt;11,942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xml:space="default"&gt;af&lt;/w:t&gt;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xml:space="default"&gt;12,894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xml:space="default"&gt;9,289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xml:space="default"&gt;ckd&lt;/w:t&gt;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xml:space="default"&gt;10,475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xml:space="default"&gt;14,318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xml:space="default"&gt;smi&lt;/w:t&gt;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xml:space="default"&gt;27,844 (1.4%)&lt;/w:t&gt;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xml:space="default"&gt;30,643 (1.5%)&lt;/w:t&gt;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xml:space="default"&gt;fhcvd&lt;/w:t&gt;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xml:space="default"&gt;111,733 (5.6%)&lt;/w:t&gt;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xml:space="default"&gt;141,336 (7.1%)&lt;/w:t&gt;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xml:space="default"&gt;migraine&lt;/w:t&gt;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xml:space="default"&gt;57,149 (2.9%)&lt;/w:t&gt;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xml:space="default"&gt;141,607 (7.1%)&lt;/w:t&gt;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xml:space="default"&gt;sle&lt;/w:t&gt;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xml:space="default"&gt;310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xml:space="default"&gt;2,408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xml:space="default"&gt;diabetes&lt;/w:t&gt;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Absent&lt;/w:t&gt;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xml:space="default"&gt;1,940,429 (97%)&lt;/w:t&gt;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xml:space="default"&gt;1,952,605 (98%)&lt;/w:t&gt;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Type1&lt;/w:t&gt;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xml:space="default"&gt;8,905 (0.4%)&lt;/w:t&gt;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xml:space="default"&gt;6,633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Type2&lt;/w:t&gt;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xml:space="default"&gt;50,666 (2.5%)&lt;/w:t&gt;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xml:space="default"&gt;40,762 (2.0%)&lt;/w:t&gt;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xml:space="default"&gt;impotence&lt;/w:t&gt;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xml:space="default"&gt;79,738 (4.0%)&lt;/w:t&gt;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xml:space="default"&gt;380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xml:space="default"&gt;cortico&lt;/w:t&gt;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xml:space="default"&gt;9,146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xml:space="default"&gt;14,543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xml:space="default"&gt;antipsy&lt;/w:t&gt;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xml:space="default"&gt;9,950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xml:space="default"&gt;7,711 (0.4%)&lt;/w:t&gt;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xml:space="default"&gt;smoking&lt;/w:t&gt;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Non-smoker&lt;/w:t&gt;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xml:space="default"&gt;843,901 (42%)&lt;/w:t&gt;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xml:space="default"&gt;1,069,024 (53%)&lt;/w:t&gt;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Ex-smoker&lt;/w:t&gt;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xml:space="default"&gt;365,350 (18%)&lt;/w:t&gt;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xml:space="default"&gt;389,589 (19%)&lt;/w:t&gt;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Current&lt;/w:t&gt;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xml:space="default"&gt;461,452 (23%)&lt;/w:t&gt;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xml:space="default"&gt;375,534 (19%)&lt;/w:t&gt;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Missing&lt;/w:t&gt;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xml:space="default"&gt;329,297 (16%)&lt;/w:t&gt;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xml:space="default"&gt;165,853 (8.3%)&lt;/w:t&gt;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xml:space="default"&gt;statins&lt;/w:t&gt;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xml:space="default"&gt;70,850 (3.5%)&lt;/w:t&gt;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xml:space="default"&gt;64,600 (3.2%)&lt;/w:t&gt;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xml:space="default"&gt;antihypertensives&lt;/w:t&gt;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xml:space="default"&gt;132,063 (6.6%)&lt;/w:t&gt;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xml:space="default"&gt;159,859 (8.0%)&lt;/w:t&gt;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xml:space="default"&gt;copd&lt;/w:t&gt;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xml:space="default"&gt;17,643 (0.9%)&lt;/w:t&gt;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xml:space="default"&gt;16,179 (0.8%)&lt;/w:t&gt;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xml:space="default"&gt;int_dis&lt;/w:t&gt;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xml:space="default"&gt;9,387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xml:space="default"&gt;6,186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xml:space="default"&gt;downs&lt;/w:t&gt;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xml:space="default"&gt;1,039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xml:space="default"&gt;1,027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xml:space="default"&gt;oral_cancer&lt;/w:t&gt;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xml:space="default"&gt;1,248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xml:space="default"&gt;679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xml:space="default"&gt;brain_cancer&lt;/w:t&gt;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xml:space="default"&gt;645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xml:space="default"&gt;517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xml:space="default"&gt;lung_cancer&lt;/w:t&gt;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xml:space="default"&gt;810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xml:space="default"&gt;743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xml:space="default"&gt;blood_cancer&lt;/w:t&gt;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xml:space="default"&gt;4,800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xml:space="default"&gt;3,961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xml:space="default"&gt;pre_eclampsia&lt;/w:t&gt;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xml:space="default"&gt;5,597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xml:space="default"&gt;postnatal_depression&lt;/w:t&gt;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xml:space="default"&gt;69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xml:space="default"&gt;26,441 (1.3%)&lt;/w:t&gt;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xml:space="default"&gt;bmi&lt;/w:t&gt;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xml:space="default"&gt;25.4 (19.8, 22.8, 28.5, 34.5)&lt;/w:t&gt;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xml:space="default"&gt;24.2 (19.1, 21.5, 28.3, 36.6)&lt;/w:t&gt;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xml:space="default"&gt;940,543 (47%)&lt;/w:t&gt;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xml:space="default"&gt;723,494 (36%)&lt;/w:t&gt;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xml:space="default"&gt;sbp&lt;/w:t&gt;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xml:space="default"&gt;130 (105, 120, 139, 155)&lt;/w:t&gt;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xml:space="default"&gt;120 (99, 110, 131, 150)&lt;/w:t&gt;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xml:space="default"&gt;834,775 (42%)&lt;/w:t&gt;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xml:space="default"&gt;412,096 (21%)&lt;/w:t&gt;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xml:space="default"&gt;nonhdl&lt;/w:t&gt;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xml:space="default"&gt;3.79 (2.11, 3.05, 4.50, 5.70)&lt;/w:t&gt;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xml:space="default"&gt;3.60 (2.10, 2.90, 4.40, 5.70)&lt;/w:t&gt;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xml:space="default"&gt;1,657,709 (83%)&lt;/w:t&gt;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xml:space="default"&gt;1,658,295 (83%)&lt;/w:t&gt;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xml:space="default"&gt;IMD&lt;/w:t&gt;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xml:space="default"&gt;11.0 (2.0, 6.0, 15.0, 19.0)&lt;/w:t&gt;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xml:space="default"&gt;11.0 (2.0, 6.0, 15.0, 19.0)&lt;/w:t&gt;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xml:space="default"&gt;2,562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xml:space="default"&gt;2,467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xml:space="default"&gt;sbp_unexposed&lt;/w:t&gt;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xml:space="default"&gt;129 (105, 120, 140, 160)&lt;/w:t&gt;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xml:space="default"&gt;120 (99, 110, 130, 155)&lt;/w:t&gt;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xml:space="default"&gt;883,666 (44%)&lt;/w:t&gt;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xml:space="default"&gt;479,215 (24%)&lt;/w:t&gt;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&lt;/w:p&gt;&lt;/w:tc&gt;&lt;/w:tr&gt;&lt;w:tr&gt;&lt;w:trPr&gt;&lt;w:cantSplit&gt;&lt;/w:cantSplit&gt;&lt;/w:trPr&gt;&lt;w:tc&gt;&lt;w:tcPr&gt;&lt;w:gridSpan w:val="3"/&gt;&lt;/w:tcPr&gt;&lt;w:p&gt;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xml:space="default"&gt;n (%)&lt;/w:t&gt;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&lt;/w:p&gt;&lt;/w:tc&gt;&lt;/w:tr&gt;&lt;/w:tbl&gt;</w:t>
      </w:r>
    </w:p>
    <w:p>
      <w:r>
        <w:t xml:space="preserve">Outcome incidence rates</w:t>
      </w:r>
    </w:p>
    <w:p>
      <w:r>
        <w:t xml:space="preserve">Outcome defined using composite of primary care, secondary care and ONS: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p>
            <w:pPr>
              <w:pStyle w:val="Compact"/>
              <w:jc w:val="right"/>
            </w:pPr>
            <w:r>
              <w:t xml:space="preserve">12697956</w:t>
            </w:r>
          </w:p>
        </w:tc>
        <w:tc>
          <w:p>
            <w:pPr>
              <w:pStyle w:val="Compact"/>
              <w:jc w:val="right"/>
            </w:pPr>
            <w:r>
              <w:t xml:space="preserve">82990</w:t>
            </w:r>
          </w:p>
        </w:tc>
        <w:tc>
          <w:p>
            <w:pPr>
              <w:pStyle w:val="Compact"/>
              <w:jc w:val="right"/>
            </w:pPr>
            <w:r>
              <w:t xml:space="preserve">6.535697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right"/>
            </w:pPr>
            <w:r>
              <w:t xml:space="preserve">12386749</w:t>
            </w:r>
          </w:p>
        </w:tc>
        <w:tc>
          <w:p>
            <w:pPr>
              <w:pStyle w:val="Compact"/>
              <w:jc w:val="right"/>
            </w:pPr>
            <w:r>
              <w:t xml:space="preserve">60749</w:t>
            </w:r>
          </w:p>
        </w:tc>
        <w:tc>
          <w:p>
            <w:pPr>
              <w:pStyle w:val="Compact"/>
              <w:jc w:val="right"/>
            </w:pPr>
            <w:r>
              <w:t xml:space="preserve">4.904354</w:t>
            </w:r>
          </w:p>
        </w:tc>
      </w:tr>
    </w:tbl>
    <w:p>
      <w:r>
        <w:t xml:space="preserve">Primary care only: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p>
            <w:pPr>
              <w:pStyle w:val="Compact"/>
              <w:jc w:val="right"/>
            </w:pPr>
            <w:r>
              <w:t xml:space="preserve">12744808</w:t>
            </w:r>
          </w:p>
        </w:tc>
        <w:tc>
          <w:p>
            <w:pPr>
              <w:pStyle w:val="Compact"/>
              <w:jc w:val="right"/>
            </w:pPr>
            <w:r>
              <w:t xml:space="preserve">62863</w:t>
            </w:r>
          </w:p>
        </w:tc>
        <w:tc>
          <w:p>
            <w:pPr>
              <w:pStyle w:val="Compact"/>
              <w:jc w:val="right"/>
            </w:pPr>
            <w:r>
              <w:t xml:space="preserve">4.932440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right"/>
            </w:pPr>
            <w:r>
              <w:t xml:space="preserve">12427515</w:t>
            </w:r>
          </w:p>
        </w:tc>
        <w:tc>
          <w:p>
            <w:pPr>
              <w:pStyle w:val="Compact"/>
              <w:jc w:val="right"/>
            </w:pPr>
            <w:r>
              <w:t xml:space="preserve">44695</w:t>
            </w:r>
          </w:p>
        </w:tc>
        <w:tc>
          <w:p>
            <w:pPr>
              <w:pStyle w:val="Compact"/>
              <w:jc w:val="right"/>
            </w:pPr>
            <w:r>
              <w:t xml:space="preserve">3.596455</w:t>
            </w:r>
          </w:p>
        </w:tc>
      </w:tr>
    </w:tbl>
    <w:p>
      <w:r>
        <w:t xml:space="preserve">Secondary care only: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p>
            <w:pPr>
              <w:pStyle w:val="Compact"/>
              <w:jc w:val="right"/>
            </w:pPr>
            <w:r>
              <w:t xml:space="preserve">12792793</w:t>
            </w:r>
          </w:p>
        </w:tc>
        <w:tc>
          <w:p>
            <w:pPr>
              <w:pStyle w:val="Compact"/>
              <w:jc w:val="right"/>
            </w:pPr>
            <w:r>
              <w:t xml:space="preserve">56549</w:t>
            </w:r>
          </w:p>
        </w:tc>
        <w:tc>
          <w:p>
            <w:pPr>
              <w:pStyle w:val="Compact"/>
              <w:jc w:val="right"/>
            </w:pPr>
            <w:r>
              <w:t xml:space="preserve">4.420379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right"/>
            </w:pPr>
            <w:r>
              <w:t xml:space="preserve">12478022</w:t>
            </w:r>
          </w:p>
        </w:tc>
        <w:tc>
          <w:p>
            <w:pPr>
              <w:pStyle w:val="Compact"/>
              <w:jc w:val="right"/>
            </w:pPr>
            <w:r>
              <w:t xml:space="preserve">37611</w:t>
            </w:r>
          </w:p>
        </w:tc>
        <w:tc>
          <w:p>
            <w:pPr>
              <w:pStyle w:val="Compact"/>
              <w:jc w:val="right"/>
            </w:pPr>
            <w:r>
              <w:t xml:space="preserve">3.014180</w:t>
            </w:r>
          </w:p>
        </w:tc>
      </w:tr>
    </w:tbl>
    <w:p>
      <w:r>
        <w:t xml:space="preserve">ONS death data only: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p>
            <w:pPr>
              <w:pStyle w:val="Compact"/>
              <w:jc w:val="right"/>
            </w:pPr>
            <w:r>
              <w:t xml:space="preserve">13069273</w:t>
            </w:r>
          </w:p>
        </w:tc>
        <w:tc>
          <w:p>
            <w:pPr>
              <w:pStyle w:val="Compact"/>
              <w:jc w:val="right"/>
            </w:pPr>
            <w:r>
              <w:t xml:space="preserve">13961</w:t>
            </w:r>
          </w:p>
        </w:tc>
        <w:tc>
          <w:p>
            <w:pPr>
              <w:pStyle w:val="Compact"/>
              <w:jc w:val="right"/>
            </w:pPr>
            <w:r>
              <w:t xml:space="preserve">1.0682308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right"/>
            </w:pPr>
            <w:r>
              <w:t xml:space="preserve">12640707</w:t>
            </w:r>
          </w:p>
        </w:tc>
        <w:tc>
          <w:p>
            <w:pPr>
              <w:pStyle w:val="Compact"/>
              <w:jc w:val="right"/>
            </w:pPr>
            <w:r>
              <w:t xml:space="preserve">10532</w:t>
            </w:r>
          </w:p>
        </w:tc>
        <w:tc>
          <w:p>
            <w:pPr>
              <w:pStyle w:val="Compact"/>
              <w:jc w:val="right"/>
            </w:pPr>
            <w:r>
              <w:t xml:space="preserve">0.8331813</w:t>
            </w:r>
          </w:p>
        </w:tc>
      </w:tr>
    </w:tbl>
    <w:p>
      <w:pPr>
        <w:pStyle w:val="Heading2"/>
      </w:pPr>
      <w:bookmarkStart w:id="23" w:name="female-cohort-split-by-developmentvalidation"/>
      <w:bookmarkEnd w:id="23"/>
      <w:r>
        <w:t xml:space="preserve">Female cohort, split by development/validation</w:t>
      </w:r>
    </w:p>
    <w:p>
      <w:r>
        <w:t xml:space="preserve">Baseline information</w:t>
      </w:r>
    </w:p>
    <w:p>
      <w:pPr>
        <w:pStyle w:val="SourceCode"/>
      </w:pPr>
      <w:r>
        <w:rPr>
          <w:rStyle w:val="VerbatimChar"/>
        </w:rPr>
        <w:t xml:space="preserve">&lt;w:tbl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xmlns:w14="http://schemas.microsoft.com/office/word/2010/wordml"&gt;&lt;w:tblPr&gt;&lt;w:tblCellMar&gt;&lt;w:top w:w="0" w:type="dxa"&gt;&lt;/w:top&gt;&lt;w:bottom w:w="0" w:type="dxa"&gt;&lt;/w:bottom&gt;&lt;w:start w:w="60" w:type="dxa"&gt;&lt;/w:start&gt;&lt;w:end w:w="60" w:type="dxa"&gt;&lt;/w:end&gt;&lt;/w:tblCellMar&gt;&lt;w:tblW w:type="auto" w:w="0"&gt;&lt;/w:tblW&gt;&lt;w:tblLook w:firstRow="0" w:lastRow="0" w:firstColumn="0" w:lastColumn="0" w:noHBand="0" w:noVBand="0"&gt;&lt;/w:tblLook&gt;&lt;w:jc w:val="center"&gt;&lt;/w:jc&gt;&lt;/w:tblPr&gt;&lt;w:tr&gt;&lt;w:trPr&gt;&lt;w:cantSplit&gt;&lt;/w:cantSplit&gt;&lt;w:tblHeader&gt;&lt;/w:tblHeader&gt;&lt;/w:trPr&gt;&lt;w:tc&gt;&lt;w:tcPr&gt;&lt;w:tcBorders&gt;&lt;w:top w:val="single" w:sz="16" w:space="0" w:color="D3D3D3"&gt;&lt;/w:top&gt;&lt;w:bottom w:val="single" w:sz="16" w:space="0" w:color="D3D3D3"&gt;&lt;/w:bottom&gt;&lt;w:start w:val="single" w:space="0" w:color="D3D3D3"&gt;&lt;/w:start&gt;&lt;/w:tcBorders&gt;&lt;/w:tcPr&gt;&lt;w:p&gt;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xml:space="preserve"&gt;Characteristic&lt;/w:t&gt;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w:sz="16" w:space="0" w:color="D3D3D3"&gt;&lt;/w:top&gt;&lt;w:bottom w:val="single" w:sz="16" w:space="0" w:color="D3D3D3"&gt;&lt;/w:bottom&gt;&lt;/w:tcBorders&gt;&lt;/w:tcPr&gt;&lt;w:p&gt;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xml:space="preserve"&gt;development&lt;/w:t&gt;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 xmlns:w="http://schemas.openxmlformats.org/wordprocessingml/2006/main"&gt;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 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xml:space="preserve"&gt;N = 1,000,000&lt;/w:t&gt;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w:sz="16" w:space="0" w:color="D3D3D3"&gt;&lt;/w:top&gt;&lt;w:bottom w:val="single" w:sz="16" w:space="0" w:color="D3D3D3"&gt;&lt;/w:bottom&gt;&lt;w:end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xml:space="preserve"&gt;validation&lt;/w:t&gt;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 xmlns:w="http://schemas.openxmlformats.org/wordprocessingml/2006/main"&gt;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 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xml:space="preserve"&gt;N = 1,000,000&lt;/w:t&gt;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xml:space="default"&gt;gender&lt;/w:t&gt;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2&lt;/w:t&gt;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xml:space="default"&gt;1,000,000 (100%)&lt;/w:t&gt;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xml:space="default"&gt;1,000,000 (100%)&lt;/w:t&gt;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xml:space="default"&gt;age&lt;/w:t&gt;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xml:space="default"&gt;34 (18, 25, 49, 73)&lt;/w:t&gt;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xml:space="default"&gt;34 (18, 25, 49, 73)&lt;/w:t&gt;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xml:space="default"&gt;0 (0%)&lt;/w:t&gt;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xml:space="default"&gt;0 (0%)&lt;/w:t&gt;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xml:space="default"&gt;ethnicity&lt;/w:t&gt;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bangladeshi&lt;/w:t&gt;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xml:space="default"&gt;6,183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xml:space="default"&gt;6,059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black african&lt;/w:t&gt;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xml:space="default"&gt;26,522 (2.7%)&lt;/w:t&gt;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xml:space="default"&gt;26,046 (2.6%)&lt;/w:t&gt;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black caribbean&lt;/w:t&gt;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xml:space="default"&gt;12,457 (1.2%)&lt;/w:t&gt;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xml:space="default"&gt;12,290 (1.2%)&lt;/w:t&gt;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chinese&lt;/w:t&gt;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xml:space="default"&gt;16,485 (1.6%)&lt;/w:t&gt;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xml:space="default"&gt;16,598 (1.7%)&lt;/w:t&gt;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indian&lt;/w:t&gt;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xml:space="default"&gt;26,717 (2.7%)&lt;/w:t&gt;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xml:space="default"&gt;26,526 (2.7%)&lt;/w:t&gt;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other asian&lt;/w:t&gt;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xml:space="default"&gt;21,796 (2.2%)&lt;/w:t&gt;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xml:space="default"&gt;21,896 (2.2%)&lt;/w:t&gt;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other ethnic&lt;/w:t&gt;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xml:space="default"&gt;49,035 (4.9%)&lt;/w:t&gt;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xml:space="default"&gt;49,152 (4.9%)&lt;/w:t&gt;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pakistani&lt;/w:t&gt;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xml:space="default"&gt;14,250 (1.4%)&lt;/w:t&gt;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xml:space="default"&gt;14,247 (1.4%)&lt;/w:t&gt;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white&lt;/w:t&gt;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xml:space="default"&gt;707,992 (71%)&lt;/w:t&gt;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xml:space="default"&gt;709,425 (71%)&lt;/w:t&gt;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Missing&lt;/w:t&gt;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xml:space="default"&gt;118,563 (12%)&lt;/w:t&gt;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xml:space="default"&gt;117,761 (12%)&lt;/w:t&gt;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xml:space="default"&gt;hypertension&lt;/w:t&gt;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xml:space="default"&gt;85,126 (8.5%)&lt;/w:t&gt;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xml:space="default"&gt;85,401 (8.5%)&lt;/w:t&gt;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xml:space="default"&gt;ra&lt;/w:t&gt;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xml:space="default"&gt;6,063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xml:space="default"&gt;5,879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xml:space="default"&gt;af&lt;/w:t&gt;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xml:space="default"&gt;4,612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xml:space="default"&gt;4,677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xml:space="default"&gt;ckd&lt;/w:t&gt;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xml:space="default"&gt;7,125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xml:space="default"&gt;7,193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xml:space="default"&gt;smi&lt;/w:t&gt;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xml:space="default"&gt;15,237 (1.5%)&lt;/w:t&gt;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xml:space="default"&gt;15,406 (1.5%)&lt;/w:t&gt;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xml:space="default"&gt;fhcvd&lt;/w:t&gt;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xml:space="default"&gt;70,847 (7.1%)&lt;/w:t&gt;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xml:space="default"&gt;70,489 (7.0%)&lt;/w:t&gt;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xml:space="default"&gt;migraine&lt;/w:t&gt;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xml:space="default"&gt;70,655 (7.1%)&lt;/w:t&gt;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xml:space="default"&gt;70,952 (7.1%)&lt;/w:t&gt;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xml:space="default"&gt;sle&lt;/w:t&gt;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xml:space="default"&gt;1,211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xml:space="default"&gt;1,197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xml:space="default"&gt;diabetes&lt;/w:t&gt;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Absent&lt;/w:t&gt;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xml:space="default"&gt;976,338 (98%)&lt;/w:t&gt;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xml:space="default"&gt;976,267 (98%)&lt;/w:t&gt;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Type1&lt;/w:t&gt;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xml:space="default"&gt;3,308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xml:space="default"&gt;3,325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Type2&lt;/w:t&gt;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xml:space="default"&gt;20,354 (2.0%)&lt;/w:t&gt;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xml:space="default"&gt;20,408 (2.0%)&lt;/w:t&gt;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xml:space="default"&gt;impotence&lt;/w:t&gt;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xml:space="default"&gt;196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xml:space="default"&gt;184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xml:space="default"&gt;cortico&lt;/w:t&gt;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xml:space="default"&gt;7,390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xml:space="default"&gt;7,153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xml:space="default"&gt;antipsy&lt;/w:t&gt;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xml:space="default"&gt;3,912 (0.4%)&lt;/w:t&gt;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xml:space="default"&gt;3,799 (0.4%)&lt;/w:t&gt;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xml:space="default"&gt;smoking&lt;/w:t&gt;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Non-smoker&lt;/w:t&gt;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xml:space="default"&gt;534,477 (53%)&lt;/w:t&gt;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xml:space="default"&gt;534,547 (53%)&lt;/w:t&gt;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Ex-smoker&lt;/w:t&gt;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xml:space="default"&gt;194,982 (19%)&lt;/w:t&gt;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xml:space="default"&gt;194,607 (19%)&lt;/w:t&gt;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Current&lt;/w:t&gt;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xml:space="default"&gt;187,398 (19%)&lt;/w:t&gt;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xml:space="default"&gt;188,136 (19%)&lt;/w:t&gt;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Missing&lt;/w:t&gt;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xml:space="default"&gt;83,143 (8.3%)&lt;/w:t&gt;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xml:space="default"&gt;82,710 (8.3%)&lt;/w:t&gt;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xml:space="default"&gt;statins&lt;/w:t&gt;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xml:space="default"&gt;32,265 (3.2%)&lt;/w:t&gt;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xml:space="default"&gt;32,335 (3.2%)&lt;/w:t&gt;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xml:space="default"&gt;antihypertensives&lt;/w:t&gt;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xml:space="default"&gt;79,821 (8.0%)&lt;/w:t&gt;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xml:space="default"&gt;80,038 (8.0%)&lt;/w:t&gt;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xml:space="default"&gt;copd&lt;/w:t&gt;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xml:space="default"&gt;8,069 (0.8%)&lt;/w:t&gt;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xml:space="default"&gt;8,110 (0.8%)&lt;/w:t&gt;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xml:space="default"&gt;int_dis&lt;/w:t&gt;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xml:space="default"&gt;3,062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xml:space="default"&gt;3,124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xml:space="default"&gt;downs&lt;/w:t&gt;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xml:space="default"&gt;507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xml:space="default"&gt;520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xml:space="default"&gt;oral_cancer&lt;/w:t&gt;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xml:space="default"&gt;311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xml:space="default"&gt;368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xml:space="default"&gt;brain_cancer&lt;/w:t&gt;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xml:space="default"&gt;259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xml:space="default"&gt;258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xml:space="default"&gt;lung_cancer&lt;/w:t&gt;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xml:space="default"&gt;395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xml:space="default"&gt;348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xml:space="default"&gt;blood_cancer&lt;/w:t&gt;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xml:space="default"&gt;1,987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xml:space="default"&gt;1,974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xml:space="default"&gt;pre_eclampsia&lt;/w:t&gt;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xml:space="default"&gt;2,831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xml:space="default"&gt;2,766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xml:space="default"&gt;postnatal_depression&lt;/w:t&gt;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xml:space="default"&gt;13,189 (1.3%)&lt;/w:t&gt;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xml:space="default"&gt;13,252 (1.3%)&lt;/w:t&gt;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xml:space="default"&gt;bmi&lt;/w:t&gt;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xml:space="default"&gt;24.2 (19.1, 21.6, 28.3, 36.6)&lt;/w:t&gt;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xml:space="default"&gt;24.2 (19.1, 21.5, 28.3, 36.6)&lt;/w:t&gt;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xml:space="default"&gt;362,044 (36%)&lt;/w:t&gt;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xml:space="default"&gt;361,450 (36%)&lt;/w:t&gt;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xml:space="default"&gt;sbp&lt;/w:t&gt;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xml:space="default"&gt;120 (99, 110, 131, 150)&lt;/w:t&gt;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xml:space="default"&gt;120 (99, 110, 131, 150)&lt;/w:t&gt;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xml:space="default"&gt;206,291 (21%)&lt;/w:t&gt;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xml:space="default"&gt;205,805 (21%)&lt;/w:t&gt;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xml:space="default"&gt;nonhdl&lt;/w:t&gt;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xml:space="default"&gt;3.60 (2.10, 2.90, 4.40, 5.70)&lt;/w:t&gt;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xml:space="default"&gt;3.60 (2.10, 2.90, 4.40, 5.70)&lt;/w:t&gt;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xml:space="default"&gt;829,390 (83%)&lt;/w:t&gt;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xml:space="default"&gt;828,905 (83%)&lt;/w:t&gt;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xml:space="default"&gt;IMD&lt;/w:t&gt;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xml:space="default"&gt;11.0 (2.0, 6.0, 15.0, 19.0)&lt;/w:t&gt;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xml:space="default"&gt;11.0 (2.0, 6.0, 15.0, 19.0)&lt;/w:t&gt;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xml:space="default"&gt;1,276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xml:space="default"&gt;1,191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xml:space="default"&gt;sbp_unexposed&lt;/w:t&gt;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xml:space="default"&gt;120 (99, 110, 130, 155)&lt;/w:t&gt;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xml:space="default"&gt;120 (99, 110, 130, 155)&lt;/w:t&gt;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xml:space="default"&gt;239,686 (24%)&lt;/w:t&gt;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xml:space="default"&gt;239,529 (24%)&lt;/w:t&gt;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&lt;/w:p&gt;&lt;/w:tc&gt;&lt;/w:tr&gt;&lt;w:tr&gt;&lt;w:trPr&gt;&lt;w:cantSplit&gt;&lt;/w:cantSplit&gt;&lt;/w:trPr&gt;&lt;w:tc&gt;&lt;w:tcPr&gt;&lt;w:gridSpan w:val="3"/&gt;&lt;/w:tcPr&gt;&lt;w:p&gt;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xml:space="default"&gt;n (%)&lt;/w:t&gt;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&lt;/w:p&gt;&lt;/w:tc&gt;&lt;/w:tr&gt;&lt;/w:tbl&gt;</w:t>
      </w:r>
    </w:p>
    <w:p>
      <w:pPr>
        <w:pStyle w:val="Heading2"/>
      </w:pPr>
      <w:bookmarkStart w:id="24" w:name="male-cohort-split-by-developmentvalidation"/>
      <w:bookmarkEnd w:id="24"/>
      <w:r>
        <w:t xml:space="preserve">Male cohort, split by development/validation</w:t>
      </w:r>
    </w:p>
    <w:p>
      <w:r>
        <w:t xml:space="preserve">Baseline information</w:t>
      </w:r>
    </w:p>
    <w:p>
      <w:pPr>
        <w:pStyle w:val="SourceCode"/>
      </w:pPr>
      <w:r>
        <w:rPr>
          <w:rStyle w:val="VerbatimChar"/>
        </w:rPr>
        <w:t xml:space="preserve">&lt;w:tbl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xmlns:w14="http://schemas.microsoft.com/office/word/2010/wordml"&gt;&lt;w:tblPr&gt;&lt;w:tblCellMar&gt;&lt;w:top w:w="0" w:type="dxa"&gt;&lt;/w:top&gt;&lt;w:bottom w:w="0" w:type="dxa"&gt;&lt;/w:bottom&gt;&lt;w:start w:w="60" w:type="dxa"&gt;&lt;/w:start&gt;&lt;w:end w:w="60" w:type="dxa"&gt;&lt;/w:end&gt;&lt;/w:tblCellMar&gt;&lt;w:tblW w:type="auto" w:w="0"&gt;&lt;/w:tblW&gt;&lt;w:tblLook w:firstRow="0" w:lastRow="0" w:firstColumn="0" w:lastColumn="0" w:noHBand="0" w:noVBand="0"&gt;&lt;/w:tblLook&gt;&lt;w:jc w:val="center"&gt;&lt;/w:jc&gt;&lt;/w:tblPr&gt;&lt;w:tr&gt;&lt;w:trPr&gt;&lt;w:cantSplit&gt;&lt;/w:cantSplit&gt;&lt;w:tblHeader&gt;&lt;/w:tblHeader&gt;&lt;/w:trPr&gt;&lt;w:tc&gt;&lt;w:tcPr&gt;&lt;w:tcBorders&gt;&lt;w:top w:val="single" w:sz="16" w:space="0" w:color="D3D3D3"&gt;&lt;/w:top&gt;&lt;w:bottom w:val="single" w:sz="16" w:space="0" w:color="D3D3D3"&gt;&lt;/w:bottom&gt;&lt;w:start w:val="single" w:space="0" w:color="D3D3D3"&gt;&lt;/w:start&gt;&lt;/w:tcBorders&gt;&lt;/w:tcPr&gt;&lt;w:p&gt;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xml:space="preserve"&gt;Characteristic&lt;/w:t&gt;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w:sz="16" w:space="0" w:color="D3D3D3"&gt;&lt;/w:top&gt;&lt;w:bottom w:val="single" w:sz="16" w:space="0" w:color="D3D3D3"&gt;&lt;/w:bottom&gt;&lt;/w:tcBorders&gt;&lt;/w:tcPr&gt;&lt;w:p&gt;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xml:space="preserve"&gt;development&lt;/w:t&gt;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 xmlns:w="http://schemas.openxmlformats.org/wordprocessingml/2006/main"&gt;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 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xml:space="preserve"&gt;N = 1,000,000&lt;/w:t&gt;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w:sz="16" w:space="0" w:color="D3D3D3"&gt;&lt;/w:top&gt;&lt;w:bottom w:val="single" w:sz="16" w:space="0" w:color="D3D3D3"&gt;&lt;/w:bottom&gt;&lt;w:end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xml:space="preserve"&gt;validation&lt;/w:t&gt;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 xmlns:w="http://schemas.openxmlformats.org/wordprocessingml/2006/main"&gt;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 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xml:space="preserve"&gt;N = 1,000,000&lt;/w:t&gt;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xml:space="default"&gt;gender&lt;/w:t&gt;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xml:space="default"&gt;1,000,000 (100%)&lt;/w:t&gt;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xml:space="default"&gt;1,000,000 (100%)&lt;/w:t&gt;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xml:space="default"&gt;age&lt;/w:t&gt;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xml:space="default"&gt;35 (18, 25, 48, 69)&lt;/w:t&gt;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xml:space="default"&gt;35 (18, 25, 48, 69)&lt;/w:t&gt;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xml:space="default"&gt;0 (0%)&lt;/w:t&gt;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xml:space="default"&gt;0 (0%)&lt;/w:t&gt;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xml:space="default"&gt;ethnicity&lt;/w:t&gt;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bangladeshi&lt;/w:t&gt;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xml:space="default"&gt;7,319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xml:space="default"&gt;7,187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black african&lt;/w:t&gt;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xml:space="default"&gt;23,939 (2.4%)&lt;/w:t&gt;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xml:space="default"&gt;24,338 (2.4%)&lt;/w:t&gt;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black caribbean&lt;/w:t&gt;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xml:space="default"&gt;10,494 (1.0%)&lt;/w:t&gt;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xml:space="default"&gt;10,443 (1.0%)&lt;/w:t&gt;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chinese&lt;/w:t&gt;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xml:space="default"&gt;11,634 (1.2%)&lt;/w:t&gt;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xml:space="default"&gt;11,656 (1.2%)&lt;/w:t&gt;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indian&lt;/w:t&gt;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xml:space="default"&gt;28,195 (2.8%)&lt;/w:t&gt;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xml:space="default"&gt;28,000 (2.8%)&lt;/w:t&gt;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other asian&lt;/w:t&gt;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xml:space="default"&gt;22,213 (2.2%)&lt;/w:t&gt;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xml:space="default"&gt;22,433 (2.2%)&lt;/w:t&gt;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other ethnic&lt;/w:t&gt;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xml:space="default"&gt;44,302 (4.4%)&lt;/w:t&gt;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xml:space="default"&gt;45,201 (4.5%)&lt;/w:t&gt;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pakistani&lt;/w:t&gt;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xml:space="default"&gt;16,750 (1.7%)&lt;/w:t&gt;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xml:space="default"&gt;16,420 (1.6%)&lt;/w:t&gt;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white&lt;/w:t&gt;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xml:space="default"&gt;624,688 (62%)&lt;/w:t&gt;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xml:space="default"&gt;624,081 (62%)&lt;/w:t&gt;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Missing&lt;/w:t&gt;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xml:space="default"&gt;210,466 (21%)&lt;/w:t&gt;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xml:space="default"&gt;210,241 (21%)&lt;/w:t&gt;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xml:space="default"&gt;hypertension&lt;/w:t&gt;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xml:space="default"&gt;74,201 (7.4%)&lt;/w:t&gt;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xml:space="default"&gt;73,578 (7.4%)&lt;/w:t&gt;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xml:space="default"&gt;ra&lt;/w:t&gt;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xml:space="default"&gt;2,428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xml:space="default"&gt;2,473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xml:space="default"&gt;af&lt;/w:t&gt;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xml:space="default"&gt;6,381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xml:space="default"&gt;6,513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xml:space="default"&gt;ckd&lt;/w:t&gt;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xml:space="default"&gt;5,266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xml:space="default"&gt;5,209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xml:space="default"&gt;smi&lt;/w:t&gt;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xml:space="default"&gt;13,898 (1.4%)&lt;/w:t&gt;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xml:space="default"&gt;13,946 (1.4%)&lt;/w:t&gt;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xml:space="default"&gt;fhcvd&lt;/w:t&gt;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xml:space="default"&gt;55,966 (5.6%)&lt;/w:t&gt;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xml:space="default"&gt;55,767 (5.6%)&lt;/w:t&gt;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xml:space="default"&gt;migraine&lt;/w:t&gt;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xml:space="default"&gt;28,632 (2.9%)&lt;/w:t&gt;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xml:space="default"&gt;28,517 (2.9%)&lt;/w:t&gt;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xml:space="default"&gt;sle&lt;/w:t&gt;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xml:space="default"&gt;175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xml:space="default"&gt;135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xml:space="default"&gt;diabetes&lt;/w:t&gt;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Absent&lt;/w:t&gt;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xml:space="default"&gt;970,099 (97%)&lt;/w:t&gt;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xml:space="default"&gt;970,330 (97%)&lt;/w:t&gt;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Type1&lt;/w:t&gt;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xml:space="default"&gt;4,431 (0.4%)&lt;/w:t&gt;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xml:space="default"&gt;4,474 (0.4%)&lt;/w:t&gt;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Type2&lt;/w:t&gt;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xml:space="default"&gt;25,470 (2.5%)&lt;/w:t&gt;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xml:space="default"&gt;25,196 (2.5%)&lt;/w:t&gt;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xml:space="default"&gt;impotence&lt;/w:t&gt;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xml:space="default"&gt;40,036 (4.0%)&lt;/w:t&gt;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xml:space="default"&gt;39,702 (4.0%)&lt;/w:t&gt;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xml:space="default"&gt;cortico&lt;/w:t&gt;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xml:space="default"&gt;4,541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xml:space="default"&gt;4,605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xml:space="default"&gt;antipsy&lt;/w:t&gt;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xml:space="default"&gt;5,010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xml:space="default"&gt;4,940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xml:space="default"&gt;smoking&lt;/w:t&gt;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Non-smoker&lt;/w:t&gt;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xml:space="default"&gt;422,175 (42%)&lt;/w:t&gt;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xml:space="default"&gt;421,726 (42%)&lt;/w:t&gt;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Ex-smoker&lt;/w:t&gt;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xml:space="default"&gt;182,883 (18%)&lt;/w:t&gt;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xml:space="default"&gt;182,467 (18%)&lt;/w:t&gt;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Current&lt;/w:t&gt;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xml:space="default"&gt;230,433 (23%)&lt;/w:t&gt;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xml:space="default"&gt;231,019 (23%)&lt;/w:t&gt;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Missing&lt;/w:t&gt;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xml:space="default"&gt;164,509 (16%)&lt;/w:t&gt;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xml:space="default"&gt;164,788 (16%)&lt;/w:t&gt;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xml:space="default"&gt;statins&lt;/w:t&gt;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xml:space="default"&gt;35,538 (3.6%)&lt;/w:t&gt;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xml:space="default"&gt;35,312 (3.5%)&lt;/w:t&gt;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xml:space="default"&gt;antihypertensives&lt;/w:t&gt;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xml:space="default"&gt;66,289 (6.6%)&lt;/w:t&gt;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xml:space="default"&gt;65,774 (6.6%)&lt;/w:t&gt;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xml:space="default"&gt;copd&lt;/w:t&gt;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xml:space="default"&gt;8,801 (0.9%)&lt;/w:t&gt;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xml:space="default"&gt;8,842 (0.9%)&lt;/w:t&gt;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xml:space="default"&gt;int_dis&lt;/w:t&gt;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xml:space="default"&gt;4,654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xml:space="default"&gt;4,733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xml:space="default"&gt;downs&lt;/w:t&gt;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xml:space="default"&gt;508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xml:space="default"&gt;531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xml:space="default"&gt;oral_cancer&lt;/w:t&gt;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xml:space="default"&gt;637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xml:space="default"&gt;611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xml:space="default"&gt;brain_cancer&lt;/w:t&gt;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xml:space="default"&gt;331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xml:space="default"&gt;314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xml:space="default"&gt;lung_cancer&lt;/w:t&gt;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xml:space="default"&gt;380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xml:space="default"&gt;430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xml:space="default"&gt;blood_cancer&lt;/w:t&gt;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xml:space="default"&gt;2,415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xml:space="default"&gt;2,385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xml:space="default"&gt;pre_eclampsia&lt;/w:t&gt;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xml:space="default"&gt;postnatal_depression&lt;/w:t&gt;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xml:space="default"&gt;39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xml:space="default"&gt;bmi&lt;/w:t&gt;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xml:space="default"&gt;25.4 (19.8, 22.8, 28.5, 34.5)&lt;/w:t&gt;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xml:space="default"&gt;25.4 (19.8, 22.8, 28.5, 34.5)&lt;/w:t&gt;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xml:space="default"&gt;470,576 (47%)&lt;/w:t&gt;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xml:space="default"&gt;469,967 (47%)&lt;/w:t&gt;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xml:space="default"&gt;sbp&lt;/w:t&gt;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xml:space="default"&gt;130 (105, 120, 139, 155)&lt;/w:t&gt;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xml:space="default"&gt;130 (105, 120, 139, 155)&lt;/w:t&gt;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xml:space="default"&gt;417,081 (42%)&lt;/w:t&gt;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xml:space="default"&gt;417,694 (42%)&lt;/w:t&gt;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xml:space="default"&gt;nonhdl&lt;/w:t&gt;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xml:space="default"&gt;3.80 (2.11, 3.05, 4.51, 5.70)&lt;/w:t&gt;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xml:space="default"&gt;3.79 (2.11, 3.05, 4.50, 5.70)&lt;/w:t&gt;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xml:space="default"&gt;828,944 (83%)&lt;/w:t&gt;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xml:space="default"&gt;828,765 (83%)&lt;/w:t&gt;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xml:space="default"&gt;IMD&lt;/w:t&gt;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xml:space="default"&gt;11.0 (2.0, 6.0, 15.0, 19.0)&lt;/w:t&gt;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xml:space="default"&gt;11.0 (2.0, 6.0, 15.0, 19.0)&lt;/w:t&gt;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xml:space="default"&gt;1,331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xml:space="default"&gt;1,231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xml:space="default"&gt;sbp_unexposed&lt;/w:t&gt;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xml:space="default"&gt;129 (105, 120, 140, 160)&lt;/w:t&gt;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xml:space="default"&gt;129 (105, 120, 140, 160)&lt;/w:t&gt;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xml:space="default"&gt;441,572 (44%)&lt;/w:t&gt;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xml:space="default"&gt;442,094 (44%)&lt;/w:t&gt;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&lt;/w:p&gt;&lt;/w:tc&gt;&lt;/w:tr&gt;&lt;w:tr&gt;&lt;w:trPr&gt;&lt;w:cantSplit&gt;&lt;/w:cantSplit&gt;&lt;/w:trPr&gt;&lt;w:tc&gt;&lt;w:tcPr&gt;&lt;w:gridSpan w:val="3"/&gt;&lt;/w:tcPr&gt;&lt;w:p&gt;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xml:space="default"&gt;n (%)&lt;/w:t&gt;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&lt;/w:p&gt;&lt;/w:tc&gt;&lt;/w:tr&gt;&lt;/w:tbl&gt;</w:t>
      </w:r>
    </w:p>
    <w:p>
      <w:pPr>
        <w:pStyle w:val="Heading1"/>
      </w:pPr>
      <w:bookmarkStart w:id="25" w:name="calibration"/>
      <w:bookmarkEnd w:id="25"/>
      <w:r>
        <w:t xml:space="preserve">Calibration</w:t>
      </w:r>
    </w:p>
    <w:p>
      <w:pPr>
        <w:pStyle w:val="Heading2"/>
      </w:pPr>
      <w:bookmarkStart w:id="26" w:name="female"/>
      <w:bookmarkEnd w:id="26"/>
      <w:r>
        <w:t xml:space="preserve">Female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E90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</w:tbl>
    <w:p>
      <w:pPr>
        <w:pStyle w:val="Heading2"/>
      </w:pPr>
      <w:bookmarkStart w:id="27" w:name="male"/>
      <w:bookmarkEnd w:id="27"/>
      <w:r>
        <w:t xml:space="preserve">Male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E90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</w:tbl>
    <w:p>
      <w:pPr>
        <w:pStyle w:val="Heading1"/>
      </w:pPr>
      <w:bookmarkStart w:id="28" w:name="calibration-removing-individuals-with-risks-below-5-before-calculating-ici-e50-and-e90"/>
      <w:bookmarkEnd w:id="28"/>
      <w:r>
        <w:t xml:space="preserve">Calibration, removing individuals with risks below 5% before calculating ICI, E50 and E90</w:t>
      </w:r>
    </w:p>
    <w:p>
      <w:pPr>
        <w:pStyle w:val="Heading2"/>
      </w:pPr>
      <w:bookmarkStart w:id="29" w:name="female-1"/>
      <w:bookmarkEnd w:id="29"/>
      <w:r>
        <w:t xml:space="preserve">Female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E90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p>
            <w:pPr>
              <w:pStyle w:val="Compact"/>
              <w:jc w:val="right"/>
            </w:pPr>
            <w:r>
              <w:t xml:space="preserve">0.040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</w:tr>
    </w:tbl>
    <w:p>
      <w:pPr>
        <w:pStyle w:val="Heading2"/>
      </w:pPr>
      <w:bookmarkStart w:id="30" w:name="male-1"/>
      <w:bookmarkEnd w:id="30"/>
      <w:r>
        <w:t xml:space="preserve">Male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E90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0.024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</w:tbl>
    <w:p>
      <w:pPr>
        <w:pStyle w:val="Heading1"/>
      </w:pPr>
      <w:bookmarkStart w:id="31" w:name="discrimination"/>
      <w:bookmarkEnd w:id="31"/>
      <w:r>
        <w:t xml:space="preserve">Discrimination</w:t>
      </w:r>
    </w:p>
    <w:p>
      <w:pPr>
        <w:pStyle w:val="Heading2"/>
      </w:pPr>
      <w:bookmarkStart w:id="32" w:name="female-2"/>
      <w:bookmarkEnd w:id="32"/>
      <w:r>
        <w:t xml:space="preserve">Female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index_lower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index_upper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p>
            <w:pPr>
              <w:pStyle w:val="Compact"/>
              <w:jc w:val="right"/>
            </w:pPr>
            <w:r>
              <w:t xml:space="preserve">0.869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p>
            <w:pPr>
              <w:pStyle w:val="Compact"/>
              <w:jc w:val="right"/>
            </w:pPr>
            <w:r>
              <w:t xml:space="preserve">0.880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p>
            <w:pPr>
              <w:pStyle w:val="Compact"/>
              <w:jc w:val="right"/>
            </w:pPr>
            <w:r>
              <w:t xml:space="preserve">0.880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p>
            <w:pPr>
              <w:pStyle w:val="Compact"/>
              <w:jc w:val="right"/>
            </w:pPr>
            <w:r>
              <w:t xml:space="preserve">0.869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0.870</w:t>
            </w:r>
          </w:p>
        </w:tc>
        <w:tc>
          <w:p>
            <w:pPr>
              <w:pStyle w:val="Compact"/>
              <w:jc w:val="right"/>
            </w:pPr>
            <w:r>
              <w:t xml:space="preserve">0.870</w:t>
            </w:r>
          </w:p>
        </w:tc>
        <w:tc>
          <w:p>
            <w:pPr>
              <w:pStyle w:val="Compact"/>
              <w:jc w:val="right"/>
            </w:pPr>
            <w:r>
              <w:t xml:space="preserve">0.870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</w:tr>
    </w:tbl>
    <w:p>
      <w:pPr>
        <w:pStyle w:val="Heading2"/>
      </w:pPr>
      <w:bookmarkStart w:id="33" w:name="male-2"/>
      <w:bookmarkEnd w:id="33"/>
      <w:r>
        <w:t xml:space="preserve">Male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index_lower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index_upper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0.861</w:t>
            </w:r>
          </w:p>
        </w:tc>
        <w:tc>
          <w:p>
            <w:pPr>
              <w:pStyle w:val="Compact"/>
              <w:jc w:val="right"/>
            </w:pPr>
            <w:r>
              <w:t xml:space="preserve">0.861</w:t>
            </w:r>
          </w:p>
        </w:tc>
        <w:tc>
          <w:p>
            <w:pPr>
              <w:pStyle w:val="Compact"/>
              <w:jc w:val="right"/>
            </w:pPr>
            <w:r>
              <w:t xml:space="preserve">0.861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0.861</w:t>
            </w:r>
          </w:p>
        </w:tc>
        <w:tc>
          <w:p>
            <w:pPr>
              <w:pStyle w:val="Compact"/>
              <w:jc w:val="right"/>
            </w:pPr>
            <w:r>
              <w:t xml:space="preserve">0.861</w:t>
            </w:r>
          </w:p>
        </w:tc>
        <w:tc>
          <w:p>
            <w:pPr>
              <w:pStyle w:val="Compact"/>
              <w:jc w:val="right"/>
            </w:pPr>
            <w:r>
              <w:t xml:space="preserve">0.861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0.852</w:t>
            </w:r>
          </w:p>
        </w:tc>
        <w:tc>
          <w:p>
            <w:pPr>
              <w:pStyle w:val="Compact"/>
              <w:jc w:val="right"/>
            </w:pPr>
            <w:r>
              <w:t xml:space="preserve">0.852</w:t>
            </w:r>
          </w:p>
        </w:tc>
        <w:tc>
          <w:p>
            <w:pPr>
              <w:pStyle w:val="Compact"/>
              <w:jc w:val="right"/>
            </w:pPr>
            <w:r>
              <w:t xml:space="preserve">0.852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0.855</w:t>
            </w:r>
          </w:p>
        </w:tc>
        <w:tc>
          <w:p>
            <w:pPr>
              <w:pStyle w:val="Compact"/>
              <w:jc w:val="right"/>
            </w:pPr>
            <w:r>
              <w:t xml:space="preserve">0.855</w:t>
            </w:r>
          </w:p>
        </w:tc>
        <w:tc>
          <w:p>
            <w:pPr>
              <w:pStyle w:val="Compact"/>
              <w:jc w:val="right"/>
            </w:pPr>
            <w:r>
              <w:t xml:space="preserve">0.855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0.853</w:t>
            </w:r>
          </w:p>
        </w:tc>
        <w:tc>
          <w:p>
            <w:pPr>
              <w:pStyle w:val="Compact"/>
              <w:jc w:val="right"/>
            </w:pPr>
            <w:r>
              <w:t xml:space="preserve">0.853</w:t>
            </w:r>
          </w:p>
        </w:tc>
        <w:tc>
          <w:p>
            <w:pPr>
              <w:pStyle w:val="Compact"/>
              <w:jc w:val="right"/>
            </w:pPr>
            <w:r>
              <w:t xml:space="preserve">0.853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0.855</w:t>
            </w:r>
          </w:p>
        </w:tc>
        <w:tc>
          <w:p>
            <w:pPr>
              <w:pStyle w:val="Compact"/>
              <w:jc w:val="right"/>
            </w:pPr>
            <w:r>
              <w:t xml:space="preserve">0.855</w:t>
            </w:r>
          </w:p>
        </w:tc>
        <w:tc>
          <w:p>
            <w:pPr>
              <w:pStyle w:val="Compact"/>
              <w:jc w:val="right"/>
            </w:pPr>
            <w:r>
              <w:t xml:space="preserve">0.855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</w:tr>
    </w:tbl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40ba756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27811464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ErrorTok">
    <w:name w:val="ErrorTok"/>
    <w:basedOn w:val="VerbatimChar"/>
    <w:rPr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Collate all results</dc:title>
  <dc:creator>Alex Pate</dc:creator>
  <dcterms:created xsi:type="dcterms:W3CDTF">2025-05-14</dcterms:created>
  <dcterms:modified xsi:type="dcterms:W3CDTF">2025-05-14</dcterms:modified>
</cp:coreProperties>
</file>