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Integrated</w:t>
      </w:r>
      <w:r>
        <w:t xml:space="preserve"> </w:t>
      </w:r>
      <w:r>
        <w:t xml:space="preserve">Calibration</w:t>
      </w:r>
      <w:r>
        <w:t xml:space="preserve"> </w:t>
      </w:r>
      <w:r>
        <w:t xml:space="preserve">Bias</w:t>
      </w:r>
      <w:r>
        <w:t xml:space="preserve"> </w:t>
      </w:r>
      <w:r>
        <w:t xml:space="preserve">Index,</w:t>
      </w:r>
      <w:r>
        <w:t xml:space="preserve"> </w:t>
      </w:r>
      <w:r>
        <w:t xml:space="preserve">CB50</w:t>
      </w:r>
      <w:r>
        <w:t xml:space="preserve"> </w:t>
      </w:r>
      <w:r>
        <w:t xml:space="preserve">and</w:t>
      </w:r>
      <w:r>
        <w:t xml:space="preserve"> </w:t>
      </w:r>
      <w:r>
        <w:t xml:space="preserve">CB90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2025-02-17</w:t>
      </w:r>
    </w:p>
    <w:p>
      <w:pPr>
        <w:pStyle w:val="Heading1"/>
      </w:pPr>
      <w:bookmarkStart w:id="21" w:name="tables-for-main-analysis"/>
      <w:bookmarkEnd w:id="21"/>
      <w:r>
        <w:t xml:space="preserve">Tables for main analysis</w:t>
      </w:r>
    </w:p>
    <w:p>
      <w:r>
        <w:t xml:space="preserve">The main analysis had the following input parameters:</w:t>
      </w:r>
    </w:p>
    <w:p>
      <w:pPr>
        <w:pStyle w:val="Compact"/>
        <w:numPr>
          <w:numId w:val="1001"/>
          <w:ilvl w:val="0"/>
        </w:numPr>
      </w:pPr>
      <w:r>
        <w:t xml:space="preserve">Stopped Cox (individuals in validation cohort censored at the time point calibration is being assessed</w:t>
      </w:r>
    </w:p>
    <w:p>
      <w:pPr>
        <w:pStyle w:val="Compact"/>
        <w:numPr>
          <w:numId w:val="1001"/>
          <w:ilvl w:val="0"/>
        </w:numPr>
      </w:pPr>
      <w:r>
        <w:t xml:space="preserve">Coefficients 0.3/0.12</w:t>
      </w:r>
    </w:p>
    <w:p>
      <w:pPr>
        <w:pStyle w:val="Compact"/>
        <w:numPr>
          <w:numId w:val="1001"/>
          <w:ilvl w:val="0"/>
        </w:numPr>
      </w:pPr>
      <w:r>
        <w:t xml:space="preserve">No unmeasured dependence</w:t>
      </w:r>
    </w:p>
    <w:p>
      <w:pPr>
        <w:pStyle w:val="Compact"/>
        <w:numPr>
          <w:numId w:val="1001"/>
          <w:ilvl w:val="0"/>
        </w:numPr>
      </w:pPr>
      <w:r>
        <w:t xml:space="preserve">t = 0.25, time at which calibration assessed</w:t>
      </w:r>
    </w:p>
    <w:p>
      <w:r>
        <w:rPr>
          <w:b/>
        </w:rPr>
        <w:t xml:space="preserve">Figure S1.1.1: ICBI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S1.1.2: CB50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S1.1.3: CB90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S1.2.1: ICBI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S1.2.2: CB50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S1.2.3: CB90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S1.3.1: ICBI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</w:tbl>
    <w:p>
      <w:r>
        <w:rPr>
          <w:b/>
        </w:rPr>
        <w:t xml:space="preserve">Figure S1.3.2: CB50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S1.3.3: CB90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0.021</w:t>
            </w:r>
          </w:p>
        </w:tc>
      </w:tr>
    </w:tbl>
    <w:p>
      <w:r>
        <w:rPr>
          <w:b/>
        </w:rPr>
        <w:t xml:space="preserve">Figure S1.4.1: ICBI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</w:tr>
    </w:tbl>
    <w:p>
      <w:r>
        <w:rPr>
          <w:b/>
        </w:rPr>
        <w:t xml:space="preserve">Figure S1.4.2: CB50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p>
      <w:r>
        <w:rPr>
          <w:b/>
        </w:rPr>
        <w:t xml:space="preserve">Figure S1.4.3: CB90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0.070</w:t>
            </w:r>
          </w:p>
        </w:tc>
      </w:tr>
    </w:tbl>
    <w:p>
      <w:pPr>
        <w:pStyle w:val="Heading1"/>
      </w:pPr>
      <w:bookmarkStart w:id="22" w:name="tables-for-sensitivity-analyses"/>
      <w:bookmarkEnd w:id="22"/>
      <w:r>
        <w:t xml:space="preserve">Tables for sensitivity analyses</w:t>
      </w:r>
    </w:p>
    <w:p>
      <w:r>
        <w:t xml:space="preserve">In each supplementary analysis, aside from the stated input parameter, all other input parameters remained the same as the main analysis.</w:t>
      </w:r>
    </w:p>
    <w:p>
      <w:pPr>
        <w:pStyle w:val="Heading2"/>
      </w:pPr>
      <w:bookmarkStart w:id="23" w:name="no-stopped-cox"/>
      <w:bookmarkEnd w:id="23"/>
      <w:r>
        <w:t xml:space="preserve">No stopped Cox</w:t>
      </w:r>
    </w:p>
    <w:p>
      <w:r>
        <w:t xml:space="preserve">Individuals in validation cohort were not censored at the time point calibration is being assessed, i.e., stopped Cox not applied in validation cohort. Otherwise, input parameters same as main analysis.</w:t>
      </w:r>
    </w:p>
    <w:p>
      <w:r>
        <w:t xml:space="preserve">[1] "C-DGM-R"</w:t>
      </w:r>
      <w:r>
        <w:t xml:space="preserve"> </w:t>
      </w:r>
      <w:r>
        <w:rPr>
          <w:b/>
        </w:rPr>
        <w:t xml:space="preserve">Figure S2.1.1: ICBI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S2.1.2: CB50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S2.1.3: CB90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t xml:space="preserve">[1] "C-DGM-SL"</w:t>
      </w:r>
      <w:r>
        <w:t xml:space="preserve"> </w:t>
      </w:r>
      <w:r>
        <w:rPr>
          <w:b/>
        </w:rPr>
        <w:t xml:space="preserve">Figure S2.2.1: ICBI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S2.2.2: CB50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S2.2.3: CB90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t xml:space="preserve">[1] "C-DGM-ML"</w:t>
      </w:r>
      <w:r>
        <w:t xml:space="preserve"> </w:t>
      </w:r>
      <w:r>
        <w:rPr>
          <w:b/>
        </w:rPr>
        <w:t xml:space="preserve">Figure S2.3.1: ICBI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</w:tbl>
    <w:p>
      <w:r>
        <w:rPr>
          <w:b/>
        </w:rPr>
        <w:t xml:space="preserve">Figure S2.3.2: CB50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S2.3.3: CB90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0.021</w:t>
            </w:r>
          </w:p>
        </w:tc>
      </w:tr>
    </w:tbl>
    <w:p>
      <w:r>
        <w:t xml:space="preserve">[1] "C-DGM-QU"</w:t>
      </w:r>
      <w:r>
        <w:t xml:space="preserve"> </w:t>
      </w:r>
      <w:r>
        <w:rPr>
          <w:b/>
        </w:rPr>
        <w:t xml:space="preserve">Figure S2.4.1: ICBI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</w:tr>
    </w:tbl>
    <w:p>
      <w:r>
        <w:rPr>
          <w:b/>
        </w:rPr>
        <w:t xml:space="preserve">Figure S2.4.2: CB50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p>
      <w:r>
        <w:rPr>
          <w:b/>
        </w:rPr>
        <w:t xml:space="preserve">Figure S2.4.3: CB90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0.070</w:t>
            </w:r>
          </w:p>
        </w:tc>
      </w:tr>
    </w:tbl>
    <w:p>
      <w:pPr>
        <w:pStyle w:val="Heading2"/>
      </w:pPr>
      <w:bookmarkStart w:id="24" w:name="coefficients-0.50.2"/>
      <w:bookmarkEnd w:id="24"/>
      <w:r>
        <w:t xml:space="preserve">Coefficients 0.5/0.2</w:t>
      </w:r>
    </w:p>
    <w:p>
      <w:r>
        <w:t xml:space="preserve">Coefficients of 0.5/0.2 as opposed to Coefficients 0.3/0.12 in the data generating mechanisms. Otherwise, input parameters same as main analysis.</w:t>
      </w:r>
    </w:p>
    <w:p>
      <w:r>
        <w:t xml:space="preserve">[1] "C-DGM-R"</w:t>
      </w:r>
      <w:r>
        <w:t xml:space="preserve"> </w:t>
      </w:r>
      <w:r>
        <w:rPr>
          <w:b/>
        </w:rPr>
        <w:t xml:space="preserve">Figure S3.1.1: ICBI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S3.1.2: CB50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S3.1.3: CB90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t xml:space="preserve">[1] "C-DGM-SL"</w:t>
      </w:r>
      <w:r>
        <w:t xml:space="preserve"> </w:t>
      </w:r>
      <w:r>
        <w:rPr>
          <w:b/>
        </w:rPr>
        <w:t xml:space="preserve">Figure S3.2.1: ICBI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S3.2.2: CB50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</w:tbl>
    <w:p>
      <w:r>
        <w:rPr>
          <w:b/>
        </w:rPr>
        <w:t xml:space="preserve">Figure S3.2.3: CB90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t xml:space="preserve">[1] "C-DGM-ML"</w:t>
      </w:r>
      <w:r>
        <w:t xml:space="preserve"> </w:t>
      </w:r>
      <w:r>
        <w:rPr>
          <w:b/>
        </w:rPr>
        <w:t xml:space="preserve">Figure S3.3.1: ICBI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</w:tr>
    </w:tbl>
    <w:p>
      <w:r>
        <w:rPr>
          <w:b/>
        </w:rPr>
        <w:t xml:space="preserve">Figure S3.3.2: CB50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</w:tbl>
    <w:p>
      <w:r>
        <w:rPr>
          <w:b/>
        </w:rPr>
        <w:t xml:space="preserve">Figure S3.3.3: CB90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</w:tr>
    </w:tbl>
    <w:p>
      <w:r>
        <w:t xml:space="preserve">[1] "C-DGM-QU"</w:t>
      </w:r>
      <w:r>
        <w:t xml:space="preserve"> </w:t>
      </w:r>
      <w:r>
        <w:rPr>
          <w:b/>
        </w:rPr>
        <w:t xml:space="preserve">Figure S3.4.1: ICBI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0.021</w:t>
            </w:r>
          </w:p>
        </w:tc>
      </w:tr>
    </w:tbl>
    <w:p>
      <w:r>
        <w:rPr>
          <w:b/>
        </w:rPr>
        <w:t xml:space="preserve">Figure S3.4.2: CB50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</w:tr>
    </w:tbl>
    <w:p>
      <w:r>
        <w:rPr>
          <w:b/>
        </w:rPr>
        <w:t xml:space="preserve">Figure S3.4.3: CB90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0.106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0.107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0.080</w:t>
            </w:r>
          </w:p>
        </w:tc>
      </w:tr>
    </w:tbl>
    <w:p>
      <w:pPr>
        <w:pStyle w:val="Heading2"/>
      </w:pPr>
      <w:bookmarkStart w:id="25" w:name="unmeasured-dependence"/>
      <w:bookmarkEnd w:id="25"/>
      <w:r>
        <w:t xml:space="preserve">Unmeasured dependence</w:t>
      </w:r>
    </w:p>
    <w:p>
      <w:r>
        <w:t xml:space="preserve">Unmeasured dependence between the outcome and censoring mechanisms. Otherwise, input parameters same as main analysis.</w:t>
      </w:r>
    </w:p>
    <w:p>
      <w:r>
        <w:t xml:space="preserve">[1] "C-DGM-R"</w:t>
      </w:r>
      <w:r>
        <w:t xml:space="preserve"> </w:t>
      </w:r>
      <w:r>
        <w:rPr>
          <w:b/>
        </w:rPr>
        <w:t xml:space="preserve">Figure S4.1.1: ICBI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</w:tbl>
    <w:p>
      <w:r>
        <w:rPr>
          <w:b/>
        </w:rPr>
        <w:t xml:space="preserve">Figure S4.1.2: CB50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</w:tbl>
    <w:p>
      <w:r>
        <w:rPr>
          <w:b/>
        </w:rPr>
        <w:t xml:space="preserve">Figure S4.1.3: CB90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</w:tr>
    </w:tbl>
    <w:p>
      <w:r>
        <w:t xml:space="preserve">[1] "C-DGM-SL"</w:t>
      </w:r>
      <w:r>
        <w:t xml:space="preserve"> </w:t>
      </w:r>
      <w:r>
        <w:rPr>
          <w:b/>
        </w:rPr>
        <w:t xml:space="preserve">Figure S4.2.1: ICBI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</w:tbl>
    <w:p>
      <w:r>
        <w:rPr>
          <w:b/>
        </w:rPr>
        <w:t xml:space="preserve">Figure S4.2.2: CB50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</w:tbl>
    <w:p>
      <w:r>
        <w:rPr>
          <w:b/>
        </w:rPr>
        <w:t xml:space="preserve">Figure S4.2.3: CB90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</w:tbl>
    <w:p>
      <w:r>
        <w:t xml:space="preserve">[1] "C-DGM-ML"</w:t>
      </w:r>
      <w:r>
        <w:t xml:space="preserve"> </w:t>
      </w:r>
      <w:r>
        <w:rPr>
          <w:b/>
        </w:rPr>
        <w:t xml:space="preserve">Figure S4.3.1: ICBI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</w:tr>
    </w:tbl>
    <w:p>
      <w:r>
        <w:rPr>
          <w:b/>
        </w:rPr>
        <w:t xml:space="preserve">Figure S4.3.2: CB50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</w:tr>
    </w:tbl>
    <w:p>
      <w:r>
        <w:rPr>
          <w:b/>
        </w:rPr>
        <w:t xml:space="preserve">Figure S4.3.3: CB90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</w:tbl>
    <w:p>
      <w:r>
        <w:t xml:space="preserve">[1] "C-DGM-QU"</w:t>
      </w:r>
      <w:r>
        <w:t xml:space="preserve"> </w:t>
      </w:r>
      <w:r>
        <w:rPr>
          <w:b/>
        </w:rPr>
        <w:t xml:space="preserve">Figure S4.4.1: ICBI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</w:tbl>
    <w:p>
      <w:r>
        <w:rPr>
          <w:b/>
        </w:rPr>
        <w:t xml:space="preserve">Figure S4.4.2: CB50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p>
            <w:pPr>
              <w:pStyle w:val="Compact"/>
              <w:jc w:val="right"/>
            </w:pPr>
            <w:r>
              <w:t xml:space="preserve">0.037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p>
            <w:pPr>
              <w:pStyle w:val="Compact"/>
              <w:jc w:val="right"/>
            </w:pPr>
            <w:r>
              <w:t xml:space="preserve">0.058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p>
            <w:pPr>
              <w:pStyle w:val="Compact"/>
              <w:jc w:val="right"/>
            </w:pPr>
            <w:r>
              <w:t xml:space="preserve">0.039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</w:tr>
    </w:tbl>
    <w:p>
      <w:r>
        <w:rPr>
          <w:b/>
        </w:rPr>
        <w:t xml:space="preserve">Figure S4.4.3: CB90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p>
            <w:pPr>
              <w:pStyle w:val="Compact"/>
              <w:jc w:val="right"/>
            </w:pPr>
            <w:r>
              <w:t xml:space="preserve">0.051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p>
            <w:pPr>
              <w:pStyle w:val="Compact"/>
              <w:jc w:val="right"/>
            </w:pPr>
            <w:r>
              <w:t xml:space="preserve">0.065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p>
            <w:pPr>
              <w:pStyle w:val="Compact"/>
              <w:jc w:val="right"/>
            </w:pPr>
            <w:r>
              <w:t xml:space="preserve">0.098</w:t>
            </w:r>
          </w:p>
        </w:tc>
        <w:tc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p>
            <w:pPr>
              <w:pStyle w:val="Compact"/>
              <w:jc w:val="right"/>
            </w:pPr>
            <w:r>
              <w:t xml:space="preserve">0.045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p>
            <w:pPr>
              <w:pStyle w:val="Compact"/>
              <w:jc w:val="right"/>
            </w:pPr>
            <w:r>
              <w:t xml:space="preserve">0.072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</w:tr>
    </w:tbl>
    <w:p>
      <w:pPr>
        <w:pStyle w:val="Heading2"/>
      </w:pPr>
      <w:bookmarkStart w:id="26" w:name="t-0.5"/>
      <w:bookmarkEnd w:id="26"/>
      <w:r>
        <w:t xml:space="preserve">t = 0.5</w:t>
      </w:r>
    </w:p>
    <w:p>
      <w:r>
        <w:t xml:space="preserve">Calibration assessed at time point t = 0.5. Otherwise, input parameters same as main analysis.</w:t>
      </w:r>
    </w:p>
    <w:p>
      <w:r>
        <w:t xml:space="preserve">[1] "C-DGM-R"</w:t>
      </w:r>
      <w:r>
        <w:t xml:space="preserve"> </w:t>
      </w:r>
      <w:r>
        <w:rPr>
          <w:b/>
        </w:rPr>
        <w:t xml:space="preserve">Figure S5.1.1: ICBI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S5.1.2: CB50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S5.1.3: CB90 for each method under C-DGM-R;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</w:tbl>
    <w:p>
      <w:r>
        <w:t xml:space="preserve">[1] "C-DGM-SL"</w:t>
      </w:r>
      <w:r>
        <w:t xml:space="preserve"> </w:t>
      </w:r>
      <w:r>
        <w:rPr>
          <w:b/>
        </w:rPr>
        <w:t xml:space="preserve">Figure S5.2.1: ICBI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p>
      <w:r>
        <w:rPr>
          <w:b/>
        </w:rPr>
        <w:t xml:space="preserve">Figure S5.2.2: CB50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</w:tbl>
    <w:p>
      <w:r>
        <w:rPr>
          <w:b/>
        </w:rPr>
        <w:t xml:space="preserve">Figure S5.2.3: CB90 for each method under C-DGM-SL;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</w:tbl>
    <w:p>
      <w:r>
        <w:t xml:space="preserve">[1] "C-DGM-ML"</w:t>
      </w:r>
      <w:r>
        <w:t xml:space="preserve"> </w:t>
      </w:r>
      <w:r>
        <w:rPr>
          <w:b/>
        </w:rPr>
        <w:t xml:space="preserve">Figure S5.3.1: ICBI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</w:tbl>
    <w:p>
      <w:r>
        <w:rPr>
          <w:b/>
        </w:rPr>
        <w:t xml:space="preserve">Figure S5.3.2: CB50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0.008</w:t>
            </w:r>
          </w:p>
        </w:tc>
      </w:tr>
    </w:tbl>
    <w:p>
      <w:r>
        <w:rPr>
          <w:b/>
        </w:rPr>
        <w:t xml:space="preserve">Figure S5.3.3: CB90 for each method under C-DGM-ML;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</w:tr>
    </w:tbl>
    <w:p>
      <w:r>
        <w:t xml:space="preserve">[1] "C-DGM-QU"</w:t>
      </w:r>
      <w:r>
        <w:t xml:space="preserve"> </w:t>
      </w:r>
      <w:r>
        <w:rPr>
          <w:b/>
        </w:rPr>
        <w:t xml:space="preserve">Figure S5.4.1: ICBI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0.026</w:t>
            </w:r>
          </w:p>
        </w:tc>
      </w:tr>
    </w:tbl>
    <w:p>
      <w:r>
        <w:rPr>
          <w:b/>
        </w:rPr>
        <w:t xml:space="preserve">Figure S5.4.2: CB50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0.015</w:t>
            </w:r>
          </w:p>
        </w:tc>
      </w:tr>
    </w:tbl>
    <w:p>
      <w:r>
        <w:rPr>
          <w:b/>
        </w:rPr>
        <w:t xml:space="preserve">Figure S5.4.3: CB90 for each method under C-DGM-QU; input parameters detailed in section introduction</w:t>
      </w:r>
    </w:p>
    <w:tbl>
      <w:tblPr>
        <w:tblStyle w:val="TableNormal"/>
        <w:tblW w:type="pct" w:w="0.0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DGM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PV-group-risk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PV-IPCW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IPCW-flex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IPCW-x1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O-DGM-SL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O-DGM-ML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p>
            <w:pPr>
              <w:pStyle w:val="Compact"/>
              <w:jc w:val="right"/>
            </w:pPr>
            <w:r>
              <w:t xml:space="preserve">0.102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Model-SL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Model-ML</w:t>
            </w:r>
          </w:p>
        </w:tc>
        <w:tc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p>
            <w:pPr>
              <w:pStyle w:val="Compact"/>
              <w:jc w:val="right"/>
            </w:pPr>
            <w:r>
              <w:t xml:space="preserve">0.021</w:t>
            </w:r>
          </w:p>
        </w:tc>
        <w:tc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p>
            <w:pPr>
              <w:pStyle w:val="Compact"/>
              <w:jc w:val="right"/>
            </w:pPr>
            <w:r>
              <w:t xml:space="preserve">0.049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O-DGM-QU</w:t>
            </w:r>
          </w:p>
        </w:tc>
        <w:tc>
          <w:p>
            <w:pPr>
              <w:pStyle w:val="Compact"/>
              <w:jc w:val="left"/>
            </w:pPr>
            <w:r>
              <w:t xml:space="preserve">Model-QU</w:t>
            </w:r>
          </w:p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p>
            <w:pPr>
              <w:pStyle w:val="Compact"/>
              <w:jc w:val="right"/>
            </w:pPr>
            <w:r>
              <w:t xml:space="preserve">0.075</w:t>
            </w:r>
          </w:p>
        </w:tc>
      </w:tr>
    </w:tbl>
    <w:p>
      <w:pPr>
        <w:pStyle w:val="Heading1"/>
      </w:pPr>
      <w:bookmarkStart w:id="27" w:name="tables-for-supplementary-analysis-looking-at-mean-calibration"/>
      <w:bookmarkEnd w:id="27"/>
      <w:r>
        <w:t xml:space="preserve">Tables for supplementary analysis looking at mean calibration</w:t>
      </w:r>
    </w:p>
    <w:p>
      <w:pPr>
        <w:pStyle w:val="SourceCode"/>
      </w:pPr>
      <w:r>
        <w:rPr>
          <w:rStyle w:val="VerbatimChar"/>
        </w:rPr>
        <w:t xml:space="preserve">## **Figure S6: Mean observed risk (estimated using Kaplan Meier) dividied by mean predicted risk in four key scenarios**</w:t>
      </w:r>
    </w:p>
    <w:p>
      <w:pPr>
        <w:pStyle w:val="SourceCode"/>
      </w:pP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|                             | estimated_mean_calib| true_mean_calib|</w:t>
      </w:r>
      <w:r>
        <w:br w:type="textWrapping"/>
      </w:r>
      <w:r>
        <w:rPr>
          <w:rStyle w:val="VerbatimChar"/>
        </w:rPr>
        <w:t xml:space="preserve">## |:----------------------------|--------------------:|---------------:|</w:t>
      </w:r>
      <w:r>
        <w:br w:type="textWrapping"/>
      </w:r>
      <w:r>
        <w:rPr>
          <w:rStyle w:val="VerbatimChar"/>
        </w:rPr>
        <w:t xml:space="preserve">## |C-DGM-ML, O-DGM-ML, Model-SL |                3.188|           0.998|</w:t>
      </w:r>
      <w:r>
        <w:br w:type="textWrapping"/>
      </w:r>
      <w:r>
        <w:rPr>
          <w:rStyle w:val="VerbatimChar"/>
        </w:rPr>
        <w:t xml:space="preserve">## |C-DGM-ML, O-DGM-QU, Model-SL |                2.094|           0.997|</w:t>
      </w:r>
      <w:r>
        <w:br w:type="textWrapping"/>
      </w:r>
      <w:r>
        <w:rPr>
          <w:rStyle w:val="VerbatimChar"/>
        </w:rPr>
        <w:t xml:space="preserve">## |C-DGM-QU, O-DGM-ML, Model-SL |                3.226|           0.999|</w:t>
      </w:r>
      <w:r>
        <w:br w:type="textWrapping"/>
      </w:r>
      <w:r>
        <w:rPr>
          <w:rStyle w:val="VerbatimChar"/>
        </w:rPr>
        <w:t xml:space="preserve">## |C-DGM-QU, O-DGM-QU, Model-SL |                2.161|           0.997|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5bae2a7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d4d4c0f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Integrated Calibration Bias Index, CB50 and CB90</dc:title>
  <dc:creator>Alex Pate</dc:creator>
  <dcterms:created xsi:type="dcterms:W3CDTF">2025-02-17</dcterms:created>
  <dcterms:modified xsi:type="dcterms:W3CDTF">2025-02-17</dcterms:modified>
</cp:coreProperties>
</file>