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scen9to12</w:t>
      </w:r>
      <w:r>
        <w:t xml:space="preserve"> </w:t>
      </w:r>
      <w:r>
        <w:t xml:space="preserve">with</w:t>
      </w:r>
      <w:r>
        <w:t xml:space="preserve"> </w:t>
      </w:r>
      <w:r>
        <w:t xml:space="preserve">likelihood</w:t>
      </w:r>
      <w:r>
        <w:t xml:space="preserve"> </w:t>
      </w:r>
      <w:r>
        <w:t xml:space="preserve">split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24/11/2020</w:t>
      </w:r>
    </w:p>
    <w:p>
      <w:pPr>
        <w:pStyle w:val="SourceCode"/>
      </w:pPr>
      <w:r>
        <w:rPr>
          <w:rStyle w:val="VerbatimChar"/>
        </w:rPr>
        <w:t xml:space="preserve">## [1] "median"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1.230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1.139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1.154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1.218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1.219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1.217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1.189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1.012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1.198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1.184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1.002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1.231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1.175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1.203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1.187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1.270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1.243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1.165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1.227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1.218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1.011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1.118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1.194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1.173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1.019</w:t>
            </w:r>
          </w:p>
        </w:tc>
        <w:tc>
          <w:p>
            <w:pPr>
              <w:pStyle w:val="Compact"/>
              <w:jc w:val="right"/>
            </w:pPr>
            <w:r>
              <w:t xml:space="preserve">1.203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1.019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1.237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1.282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1.313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0.835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1.024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p>
            <w:pPr>
              <w:pStyle w:val="Compact"/>
              <w:jc w:val="right"/>
            </w:pPr>
            <w:r>
              <w:t xml:space="preserve">1.020</w:t>
            </w:r>
          </w:p>
        </w:tc>
        <w:tc>
          <w:p>
            <w:pPr>
              <w:pStyle w:val="Compact"/>
              <w:jc w:val="right"/>
            </w:pPr>
            <w:r>
              <w:t xml:space="preserve">1.285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1.219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741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scen9to12 with likelihood split</dc:title>
  <dc:creator>Alex Pate</dc:creator>
  <dcterms:created xsi:type="dcterms:W3CDTF">2020-12-11</dcterms:created>
  <dcterms:modified xsi:type="dcterms:W3CDTF">2020-12-11</dcterms:modified>
</cp:coreProperties>
</file>