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488efb77d7491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@FR031-2,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@FR031-3,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@FR031-4,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@Admin, @WebOnly)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@Analysis,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@FR027-2, @UR025-2)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@FR027-3,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@FR027-4,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@FR027-5,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@FR027-6, @UR025-4)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@FR027-9,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30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@FR025-1,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@FR025-2, @UR024-2,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the message includes a link</w:t>
      </w:r>
    </w:p>
    <w:p>
      <w:r>
        <w:br w:type="page"/>
      </w:r>
    </w:p>
    <w:p w:rsidR="00CC1B7A" w:rsidP="0016335E" w:rsidRDefault="0016335E">
      <w:pPr>
        <w:pStyle w:val="Heading1"/>
      </w:pPr>
      <w:r>
        <w:t>UserRegistration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@FR029-1,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@FR029-2,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@FR029-3, @UR028-2)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Kingdom"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@FR029-4, @UR028-3)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4cb13c8295463f" /><Relationship Type="http://schemas.microsoft.com/office/2007/relationships/stylesWithEffects" Target="/word/stylesWithEffects.xml" Id="Rf91e35edef644f63" /><Relationship Type="http://schemas.openxmlformats.org/officeDocument/2006/relationships/fontTable" Target="/word/fontTable.xml" Id="R055be4b6bc1d49ab" /><Relationship Type="http://schemas.openxmlformats.org/officeDocument/2006/relationships/settings" Target="/word/settings.xml" Id="Rb299e429cf3e44b2" /><Relationship Type="http://schemas.openxmlformats.org/officeDocument/2006/relationships/header" Target="/word/header.xml" Id="R75636159a12446da" /><Relationship Type="http://schemas.openxmlformats.org/officeDocument/2006/relationships/footer" Target="/word/footer.xml" Id="Re3e661fd0ed14b8d" /></Relationships>
</file>