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ac74b3a0954fa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I deem dubious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analyze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CustomerPayment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@UR029-4)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LicenceUpgrade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there is an appropriate choice of purchase options for me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Then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enter a new valid licence key</w:t>
      </w:r>
    </w:p>
    <w:p>
      <w:pPr>
        <w:pStyle w:val="Normal"/>
      </w:pPr>
      <w:r>
        <w:rPr>
          <w:b/>
        </w:rPr>
        <w:t>And </w:t>
      </w:r>
      <w:r>
        <w:t xml:space="preserve">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that I have been directed to the store website to purchase a license</w:t>
      </w:r>
    </w:p>
    <w:p>
      <w:pPr>
        <w:pStyle w:val="Normal"/>
      </w:pPr>
      <w:r>
        <w:rPr>
          <w:b/>
        </w:rPr>
        <w:t>When </w:t>
      </w:r>
      <w:r>
        <w:t xml:space="preserve"> I purchase a license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@UR-25-8)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analyzed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</w:t>
      </w:r>
    </w:p>
    <w:p w:rsidR="00CC1B7A" w:rsidP="0016335E" w:rsidRDefault="0016335E">
      <w:pPr>
        <w:pStyle w:val="Normal"/>
      </w:pPr>
      <w:r>
        <w:t>So that I can see where early stage decay is occuring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deteted caries ROIs are indicated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deteted caries ROIs are indicated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analyzed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@Admin, @WebOnly)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delete is introduced</w:t>
      </w:r>
    </w:p>
    <w:p>
      <w:pPr>
        <w:pStyle w:val="Normal"/>
      </w:pPr>
      <w:r>
        <w:rPr>
          <w:b/>
        </w:rPr>
        <w:t>And </w:t>
      </w:r>
      <w:r>
        <w:t xml:space="preserve"> flip is introduced</w:t>
      </w:r>
    </w:p>
    <w:p>
      <w:pPr>
        <w:pStyle w:val="Normal"/>
      </w:pPr>
      <w:r>
        <w:rPr>
          <w:b/>
        </w:rPr>
        <w:t>And </w:t>
      </w:r>
      <w:r>
        <w:t xml:space="preserve"> add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@Analysis, @WebOnly)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adderss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 w:rsidR="00CC1B7A" w:rsidP="0016335E" w:rsidRDefault="0016335E">
      <w:pPr>
        <w:pStyle w:val="Heading2"/>
      </w:pPr>
      <w:r>
        <w:t>FlipCariesROI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r>
        <w:br w:type="page"/>
      </w:r>
    </w:p>
    <w:p w:rsidR="00CC1B7A" w:rsidP="0016335E" w:rsidRDefault="0016335E">
      <w:pPr>
        <w:pStyle w:val="Heading1"/>
      </w:pPr>
      <w:r>
        <w:t>RestrictAccess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obstruct access to AssistDent in certain territories</w:t>
      </w:r>
    </w:p>
    <w:p w:rsidR="00CC1B7A" w:rsidP="0016335E" w:rsidRDefault="0016335E">
      <w:pPr>
        <w:pStyle w:val="Normal"/>
      </w:pPr>
      <w:r>
        <w:t>So that it can only be used in territories where we have regulatory clearance</w:t>
      </w:r>
    </w:p>
    <w:p w:rsidR="00CC1B7A" w:rsidP="0016335E" w:rsidRDefault="0016335E">
      <w:pPr>
        <w:pStyle w:val="Heading2"/>
      </w:pPr>
      <w:r>
        <w:t>CanUseInEU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"Denmark"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CanUseInUK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Kingdom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dismiss/request the new features are no longer displayed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new features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UpgradeClient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is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the user is directed to the updated installer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1.6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2c2508dd824860" /><Relationship Type="http://schemas.microsoft.com/office/2007/relationships/stylesWithEffects" Target="/word/stylesWithEffects.xml" Id="Raf16f435a4174783" /><Relationship Type="http://schemas.openxmlformats.org/officeDocument/2006/relationships/fontTable" Target="/word/fontTable.xml" Id="Rf4f0536d4e6b4b74" /><Relationship Type="http://schemas.openxmlformats.org/officeDocument/2006/relationships/settings" Target="/word/settings.xml" Id="Rd0b39162f76a4a96" /><Relationship Type="http://schemas.openxmlformats.org/officeDocument/2006/relationships/header" Target="/word/header.xml" Id="R081685224f584f3d" /><Relationship Type="http://schemas.openxmlformats.org/officeDocument/2006/relationships/footer" Target="/word/footer.xml" Id="R0d95fef365924f78" /></Relationships>
</file>