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4b6ffee248459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acbf3a02b8c48af" /><Relationship Type="http://schemas.microsoft.com/office/2007/relationships/stylesWithEffects" Target="/word/stylesWithEffects.xml" Id="R7e0dd215d89240f0" /><Relationship Type="http://schemas.openxmlformats.org/officeDocument/2006/relationships/fontTable" Target="/word/fontTable.xml" Id="R2eecee80519a4572" /><Relationship Type="http://schemas.openxmlformats.org/officeDocument/2006/relationships/settings" Target="/word/settings.xml" Id="R612ed47a3a69450e" /><Relationship Type="http://schemas.openxmlformats.org/officeDocument/2006/relationships/header" Target="/word/header.xml" Id="R5f1a2c4117484f42" /><Relationship Type="http://schemas.openxmlformats.org/officeDocument/2006/relationships/footer" Target="/word/footer.xml" Id="Ra424e70f108f4658" /></Relationships>
</file>