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80e976cf484e7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f8439c3fb641b5" /><Relationship Type="http://schemas.microsoft.com/office/2007/relationships/stylesWithEffects" Target="/word/stylesWithEffects.xml" Id="R31cf4bdc0f964480" /><Relationship Type="http://schemas.openxmlformats.org/officeDocument/2006/relationships/fontTable" Target="/word/fontTable.xml" Id="R1c63222e16d94690" /><Relationship Type="http://schemas.openxmlformats.org/officeDocument/2006/relationships/settings" Target="/word/settings.xml" Id="R02894daffde8452f" /><Relationship Type="http://schemas.openxmlformats.org/officeDocument/2006/relationships/header" Target="/word/header.xml" Id="R2fc6d39bc8194738" /><Relationship Type="http://schemas.openxmlformats.org/officeDocument/2006/relationships/footer" Target="/word/footer.xml" Id="Rb61dce41addd4508" /></Relationships>
</file>