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57a4ccedf41c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06c00da544c79" /><Relationship Type="http://schemas.microsoft.com/office/2007/relationships/stylesWithEffects" Target="/word/stylesWithEffects.xml" Id="R5101091fe4394f3e" /><Relationship Type="http://schemas.openxmlformats.org/officeDocument/2006/relationships/fontTable" Target="/word/fontTable.xml" Id="R79ab1235a96f4829" /><Relationship Type="http://schemas.openxmlformats.org/officeDocument/2006/relationships/settings" Target="/word/settings.xml" Id="R683bba671ec2496b" /><Relationship Type="http://schemas.openxmlformats.org/officeDocument/2006/relationships/header" Target="/word/header.xml" Id="R9b8ee733aad34a6c" /><Relationship Type="http://schemas.openxmlformats.org/officeDocument/2006/relationships/footer" Target="/word/footer.xml" Id="R40d1367b84d04716" /></Relationships>
</file>