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fff665efa4403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4049c5a0f04bbc" /><Relationship Type="http://schemas.microsoft.com/office/2007/relationships/stylesWithEffects" Target="/word/stylesWithEffects.xml" Id="Rf036a22ee8c64e55" /><Relationship Type="http://schemas.openxmlformats.org/officeDocument/2006/relationships/fontTable" Target="/word/fontTable.xml" Id="R48e597ab0e0c4612" /><Relationship Type="http://schemas.openxmlformats.org/officeDocument/2006/relationships/settings" Target="/word/settings.xml" Id="R2d37dcea4aa146d8" /><Relationship Type="http://schemas.openxmlformats.org/officeDocument/2006/relationships/header" Target="/word/header.xml" Id="R53bba1582cb0448e" /><Relationship Type="http://schemas.openxmlformats.org/officeDocument/2006/relationships/footer" Target="/word/footer.xml" Id="R043169229de24240" /></Relationships>
</file>