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7cb361762a448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f86790519f4b77" /><Relationship Type="http://schemas.microsoft.com/office/2007/relationships/stylesWithEffects" Target="/word/stylesWithEffects.xml" Id="R897d2753c9a743bb" /><Relationship Type="http://schemas.openxmlformats.org/officeDocument/2006/relationships/fontTable" Target="/word/fontTable.xml" Id="R8efdcb35339849eb" /><Relationship Type="http://schemas.openxmlformats.org/officeDocument/2006/relationships/settings" Target="/word/settings.xml" Id="R5a67f8545f074b38" /><Relationship Type="http://schemas.openxmlformats.org/officeDocument/2006/relationships/header" Target="/word/header.xml" Id="Rd34bef67ee6e4fc1" /><Relationship Type="http://schemas.openxmlformats.org/officeDocument/2006/relationships/footer" Target="/word/footer.xml" Id="Rdd6645eb497f4ae5" /></Relationships>
</file>