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F944" w14:textId="77777777" w:rsidR="00CF45F8" w:rsidRPr="00CD366A" w:rsidRDefault="00653011">
      <w:pPr>
        <w:rPr>
          <w:rFonts w:ascii="Calibri" w:hAnsi="Calibri"/>
          <w:sz w:val="40"/>
          <w:szCs w:val="40"/>
        </w:rPr>
      </w:pPr>
      <w:r w:rsidRPr="00CD366A">
        <w:rPr>
          <w:rFonts w:ascii="Calibri" w:hAnsi="Calibri"/>
          <w:sz w:val="40"/>
          <w:szCs w:val="40"/>
        </w:rPr>
        <w:t>Readings Worksheet</w:t>
      </w:r>
    </w:p>
    <w:p w14:paraId="4F07F945" w14:textId="77777777" w:rsidR="00653011" w:rsidRPr="00CD366A" w:rsidRDefault="00653011">
      <w:pPr>
        <w:rPr>
          <w:b/>
          <w:bCs/>
        </w:rPr>
      </w:pPr>
    </w:p>
    <w:p w14:paraId="26DCF649" w14:textId="37EBBBB5" w:rsidR="00284C5D" w:rsidRDefault="00653011">
      <w:pPr>
        <w:rPr>
          <w:rFonts w:ascii="Calibri" w:hAnsi="Calibri"/>
          <w:sz w:val="28"/>
          <w:szCs w:val="28"/>
          <w:u w:val="single"/>
        </w:rPr>
      </w:pPr>
      <w:r w:rsidRPr="00CD366A">
        <w:rPr>
          <w:rFonts w:ascii="Calibri" w:hAnsi="Calibri"/>
          <w:b/>
          <w:bCs/>
          <w:sz w:val="28"/>
          <w:szCs w:val="28"/>
        </w:rPr>
        <w:t xml:space="preserve">Author: </w:t>
      </w:r>
      <w:r w:rsidR="00284C5D" w:rsidRPr="00284C5D">
        <w:rPr>
          <w:rFonts w:ascii="Calibri" w:hAnsi="Calibri"/>
          <w:sz w:val="28"/>
          <w:szCs w:val="28"/>
          <w:u w:val="single"/>
        </w:rPr>
        <w:t>Farshad-Amacker, N. A., Hughes, A. P., Aichmair, A., Herzog, R. J., &amp; Farshad, M.</w:t>
      </w:r>
    </w:p>
    <w:p w14:paraId="4F07F949" w14:textId="160CE7C7" w:rsidR="00653011" w:rsidRPr="00CD366A" w:rsidRDefault="00653011">
      <w:pPr>
        <w:rPr>
          <w:rFonts w:ascii="Calibri" w:hAnsi="Calibri"/>
          <w:b/>
          <w:bCs/>
          <w:sz w:val="28"/>
          <w:szCs w:val="28"/>
        </w:rPr>
      </w:pPr>
      <w:r w:rsidRPr="00CD366A">
        <w:rPr>
          <w:rFonts w:ascii="Calibri" w:hAnsi="Calibri"/>
          <w:b/>
          <w:bCs/>
          <w:sz w:val="28"/>
          <w:szCs w:val="28"/>
        </w:rPr>
        <w:t xml:space="preserve">Title: </w:t>
      </w:r>
      <w:r w:rsidR="00284C5D" w:rsidRPr="00284C5D">
        <w:rPr>
          <w:rFonts w:ascii="Calibri" w:hAnsi="Calibri"/>
          <w:sz w:val="28"/>
          <w:szCs w:val="28"/>
          <w:u w:val="single"/>
        </w:rPr>
        <w:t xml:space="preserve">Determinants </w:t>
      </w:r>
      <w:r w:rsidR="00347B20">
        <w:rPr>
          <w:rFonts w:ascii="Calibri" w:hAnsi="Calibri"/>
          <w:sz w:val="28"/>
          <w:szCs w:val="28"/>
          <w:u w:val="single"/>
        </w:rPr>
        <w:t xml:space="preserve">of endplate and disc degeneration evolution </w:t>
      </w:r>
      <w:r w:rsidR="00284C5D" w:rsidRPr="00284C5D">
        <w:rPr>
          <w:rFonts w:ascii="Calibri" w:hAnsi="Calibri"/>
          <w:sz w:val="28"/>
          <w:szCs w:val="28"/>
          <w:u w:val="single"/>
        </w:rPr>
        <w:t>in the lumbar spine: A multifactorial perspective.</w:t>
      </w:r>
    </w:p>
    <w:p w14:paraId="4F07F94B" w14:textId="27A59C50" w:rsidR="00653011" w:rsidRPr="00CD366A" w:rsidRDefault="00653011">
      <w:pPr>
        <w:rPr>
          <w:rFonts w:ascii="Calibri" w:hAnsi="Calibri"/>
          <w:b/>
          <w:bCs/>
          <w:sz w:val="28"/>
          <w:szCs w:val="28"/>
        </w:rPr>
      </w:pPr>
      <w:r w:rsidRPr="00CD366A">
        <w:rPr>
          <w:rFonts w:ascii="Calibri" w:hAnsi="Calibri"/>
          <w:b/>
          <w:bCs/>
          <w:sz w:val="28"/>
          <w:szCs w:val="28"/>
        </w:rPr>
        <w:t xml:space="preserve">Date: </w:t>
      </w:r>
      <w:r w:rsidRPr="00CD366A">
        <w:rPr>
          <w:rFonts w:ascii="Calibri" w:hAnsi="Calibri"/>
          <w:b/>
          <w:bCs/>
          <w:sz w:val="28"/>
          <w:szCs w:val="28"/>
          <w:u w:val="single"/>
        </w:rPr>
        <w:tab/>
      </w:r>
      <w:r w:rsidR="00AC26C2" w:rsidRPr="00AC26C2">
        <w:rPr>
          <w:rFonts w:ascii="Calibri" w:hAnsi="Calibri"/>
          <w:sz w:val="28"/>
          <w:szCs w:val="28"/>
          <w:u w:val="single"/>
        </w:rPr>
        <w:t>201</w:t>
      </w:r>
      <w:r w:rsidR="00284C5D">
        <w:rPr>
          <w:rFonts w:ascii="Calibri" w:hAnsi="Calibri"/>
          <w:sz w:val="28"/>
          <w:szCs w:val="28"/>
          <w:u w:val="single"/>
        </w:rPr>
        <w:t>4</w:t>
      </w:r>
    </w:p>
    <w:p w14:paraId="4F07F951" w14:textId="704155AC" w:rsidR="00653011" w:rsidRPr="00CD366A" w:rsidRDefault="00653011" w:rsidP="00AC26C2">
      <w:pPr>
        <w:rPr>
          <w:rFonts w:ascii="Calibri" w:hAnsi="Calibri"/>
          <w:b/>
          <w:bCs/>
          <w:sz w:val="28"/>
          <w:szCs w:val="28"/>
        </w:rPr>
      </w:pPr>
      <w:r w:rsidRPr="00CD366A">
        <w:rPr>
          <w:rFonts w:ascii="Calibri" w:hAnsi="Calibri"/>
          <w:b/>
          <w:bCs/>
          <w:sz w:val="28"/>
          <w:szCs w:val="28"/>
        </w:rPr>
        <w:t xml:space="preserve">Bibliographic Information: </w:t>
      </w:r>
      <w:r w:rsidR="000F1804" w:rsidRPr="000F1804">
        <w:rPr>
          <w:rFonts w:ascii="Calibri" w:hAnsi="Calibri"/>
          <w:sz w:val="28"/>
          <w:szCs w:val="28"/>
          <w:u w:val="single"/>
        </w:rPr>
        <w:t xml:space="preserve">Farshad-Amacker, N. A., Hughes, A. P., Aichmair, A., Herzog, R. J., &amp; Farshad, M. (2014). Determinants </w:t>
      </w:r>
      <w:r w:rsidR="00347B20">
        <w:rPr>
          <w:rFonts w:ascii="Calibri" w:hAnsi="Calibri"/>
          <w:sz w:val="28"/>
          <w:szCs w:val="28"/>
          <w:u w:val="single"/>
        </w:rPr>
        <w:t xml:space="preserve">of endplate and disc degeneration evolution </w:t>
      </w:r>
      <w:r w:rsidR="000F1804" w:rsidRPr="000F1804">
        <w:rPr>
          <w:rFonts w:ascii="Calibri" w:hAnsi="Calibri"/>
          <w:sz w:val="28"/>
          <w:szCs w:val="28"/>
          <w:u w:val="single"/>
        </w:rPr>
        <w:t>in the lumbar spine: A multifactorial perspective.</w:t>
      </w:r>
      <w:r w:rsidR="000F1804" w:rsidRPr="000F1804">
        <w:rPr>
          <w:rFonts w:ascii="Calibri" w:hAnsi="Calibri"/>
          <w:i/>
          <w:iCs/>
          <w:sz w:val="28"/>
          <w:szCs w:val="28"/>
          <w:u w:val="single"/>
        </w:rPr>
        <w:t xml:space="preserve"> European Spine Journal, 23</w:t>
      </w:r>
      <w:r w:rsidR="000F1804" w:rsidRPr="000F1804">
        <w:rPr>
          <w:rFonts w:ascii="Calibri" w:hAnsi="Calibri"/>
          <w:sz w:val="28"/>
          <w:szCs w:val="28"/>
          <w:u w:val="single"/>
        </w:rPr>
        <w:t xml:space="preserve">(9), 1863-1868. </w:t>
      </w:r>
      <w:r w:rsidR="000F1804" w:rsidRPr="006153E8">
        <w:rPr>
          <w:rFonts w:ascii="Calibri" w:hAnsi="Calibri"/>
          <w:sz w:val="28"/>
          <w:szCs w:val="28"/>
          <w:u w:val="single"/>
        </w:rPr>
        <w:t>https://doi.org/10.1007/s00586-014-3382-z</w:t>
      </w:r>
    </w:p>
    <w:p w14:paraId="4F07F952" w14:textId="77777777" w:rsidR="00653011" w:rsidRPr="00CD366A" w:rsidRDefault="00653011">
      <w:pPr>
        <w:rPr>
          <w:rFonts w:ascii="Calibri" w:hAnsi="Calibri"/>
          <w:b/>
          <w:bCs/>
          <w:sz w:val="28"/>
          <w:szCs w:val="28"/>
        </w:rPr>
      </w:pPr>
    </w:p>
    <w:p w14:paraId="4F07F953" w14:textId="59A73DA2" w:rsidR="00653011" w:rsidRDefault="00653011">
      <w:pPr>
        <w:rPr>
          <w:rFonts w:ascii="Calibri" w:hAnsi="Calibri"/>
          <w:b/>
          <w:bCs/>
          <w:sz w:val="28"/>
          <w:szCs w:val="28"/>
        </w:rPr>
      </w:pPr>
      <w:r w:rsidRPr="00CD366A">
        <w:rPr>
          <w:rFonts w:ascii="Calibri" w:hAnsi="Calibri"/>
          <w:b/>
          <w:bCs/>
          <w:sz w:val="28"/>
          <w:szCs w:val="28"/>
        </w:rPr>
        <w:t>Key Argument:</w:t>
      </w:r>
    </w:p>
    <w:p w14:paraId="4F07F959" w14:textId="5836D73F" w:rsidR="00653011" w:rsidRDefault="0008145F">
      <w:pPr>
        <w:rPr>
          <w:rFonts w:ascii="Calibri" w:hAnsi="Calibri"/>
          <w:sz w:val="28"/>
          <w:szCs w:val="28"/>
        </w:rPr>
      </w:pPr>
      <w:r w:rsidRPr="0008145F">
        <w:rPr>
          <w:rFonts w:ascii="Calibri" w:hAnsi="Calibri"/>
          <w:sz w:val="28"/>
          <w:szCs w:val="28"/>
        </w:rPr>
        <w:t>The degeneration of the endplate and disc in the lumbar spine is a complex process with multiple contributing factors.</w:t>
      </w:r>
    </w:p>
    <w:p w14:paraId="509EE17E" w14:textId="77777777" w:rsidR="0008145F" w:rsidRPr="00CD366A" w:rsidRDefault="0008145F">
      <w:pPr>
        <w:rPr>
          <w:rFonts w:ascii="Calibri" w:hAnsi="Calibri"/>
          <w:b/>
          <w:bCs/>
          <w:sz w:val="28"/>
          <w:szCs w:val="28"/>
        </w:rPr>
      </w:pPr>
    </w:p>
    <w:p w14:paraId="4F07F95A" w14:textId="77777777" w:rsidR="00653011" w:rsidRPr="00CD366A" w:rsidRDefault="00653011">
      <w:pPr>
        <w:rPr>
          <w:rFonts w:ascii="Calibri" w:hAnsi="Calibri"/>
          <w:b/>
          <w:bCs/>
          <w:sz w:val="28"/>
          <w:szCs w:val="28"/>
        </w:rPr>
      </w:pPr>
      <w:r w:rsidRPr="00CD366A">
        <w:rPr>
          <w:rFonts w:ascii="Calibri" w:hAnsi="Calibri"/>
          <w:b/>
          <w:bCs/>
          <w:sz w:val="28"/>
          <w:szCs w:val="28"/>
        </w:rPr>
        <w:t>Main Points:</w:t>
      </w:r>
    </w:p>
    <w:p w14:paraId="74768A1A" w14:textId="5F6DB914" w:rsidR="0008145F" w:rsidRPr="0008145F" w:rsidRDefault="0008145F" w:rsidP="0008145F">
      <w:pPr>
        <w:ind w:left="270" w:hanging="270"/>
        <w:rPr>
          <w:rFonts w:ascii="Calibri" w:hAnsi="Calibri"/>
          <w:sz w:val="28"/>
          <w:szCs w:val="28"/>
        </w:rPr>
      </w:pPr>
      <w:r w:rsidRPr="0008145F">
        <w:rPr>
          <w:rFonts w:ascii="Calibri" w:hAnsi="Calibri"/>
          <w:b/>
          <w:bCs/>
          <w:sz w:val="28"/>
          <w:szCs w:val="28"/>
        </w:rPr>
        <w:t>1.</w:t>
      </w:r>
      <w:r>
        <w:rPr>
          <w:rFonts w:ascii="Calibri" w:hAnsi="Calibri"/>
          <w:sz w:val="28"/>
          <w:szCs w:val="28"/>
        </w:rPr>
        <w:t xml:space="preserve"> </w:t>
      </w:r>
      <w:r w:rsidRPr="0008145F">
        <w:rPr>
          <w:rFonts w:ascii="Calibri" w:hAnsi="Calibri"/>
          <w:sz w:val="28"/>
          <w:szCs w:val="28"/>
        </w:rPr>
        <w:t xml:space="preserve">Discusses the various factors that can contribute to endplate and disc degeneration in the lumbar spine, including biomechanical stresses, genetic susceptibility, and environmental influences. </w:t>
      </w:r>
    </w:p>
    <w:p w14:paraId="029CF332" w14:textId="54B2B745" w:rsidR="0008145F" w:rsidRPr="0008145F" w:rsidRDefault="0008145F" w:rsidP="0008145F">
      <w:pPr>
        <w:ind w:left="270" w:hanging="270"/>
        <w:rPr>
          <w:rFonts w:ascii="Calibri" w:hAnsi="Calibri"/>
          <w:sz w:val="28"/>
          <w:szCs w:val="28"/>
        </w:rPr>
      </w:pPr>
      <w:r w:rsidRPr="0008145F">
        <w:rPr>
          <w:rFonts w:ascii="Calibri" w:hAnsi="Calibri"/>
          <w:b/>
          <w:bCs/>
          <w:sz w:val="28"/>
          <w:szCs w:val="28"/>
        </w:rPr>
        <w:t>2.</w:t>
      </w:r>
      <w:r>
        <w:rPr>
          <w:rFonts w:ascii="Calibri" w:hAnsi="Calibri"/>
          <w:sz w:val="28"/>
          <w:szCs w:val="28"/>
        </w:rPr>
        <w:t xml:space="preserve"> </w:t>
      </w:r>
      <w:r w:rsidRPr="0008145F">
        <w:rPr>
          <w:rFonts w:ascii="Calibri" w:hAnsi="Calibri"/>
          <w:sz w:val="28"/>
          <w:szCs w:val="28"/>
        </w:rPr>
        <w:t xml:space="preserve">Emphasizes the multifactorial nature of this condition, suggesting that a combination of factors is likely involved in most cases. </w:t>
      </w:r>
    </w:p>
    <w:p w14:paraId="0CB63A5F" w14:textId="69AD61D9" w:rsidR="00917E48" w:rsidRDefault="0008145F" w:rsidP="0008145F">
      <w:pPr>
        <w:ind w:left="270" w:hanging="270"/>
        <w:rPr>
          <w:rFonts w:ascii="Calibri" w:hAnsi="Calibri"/>
          <w:sz w:val="28"/>
          <w:szCs w:val="28"/>
        </w:rPr>
      </w:pPr>
      <w:r w:rsidRPr="0008145F">
        <w:rPr>
          <w:rFonts w:ascii="Calibri" w:hAnsi="Calibri"/>
          <w:b/>
          <w:bCs/>
          <w:sz w:val="28"/>
          <w:szCs w:val="28"/>
        </w:rPr>
        <w:t>3.</w:t>
      </w:r>
      <w:r>
        <w:rPr>
          <w:rFonts w:ascii="Calibri" w:hAnsi="Calibri"/>
          <w:sz w:val="28"/>
          <w:szCs w:val="28"/>
        </w:rPr>
        <w:t xml:space="preserve"> Although it may not directly address evolutionary origins, understanding degenerative processes in the spine is relevant to </w:t>
      </w:r>
      <w:r w:rsidR="00BA74E0">
        <w:rPr>
          <w:rFonts w:ascii="Calibri" w:hAnsi="Calibri"/>
          <w:sz w:val="28"/>
          <w:szCs w:val="28"/>
        </w:rPr>
        <w:t>discussing</w:t>
      </w:r>
      <w:r>
        <w:rPr>
          <w:rFonts w:ascii="Calibri" w:hAnsi="Calibri"/>
          <w:sz w:val="28"/>
          <w:szCs w:val="28"/>
        </w:rPr>
        <w:t xml:space="preserve"> back pain from</w:t>
      </w:r>
      <w:r w:rsidRPr="0008145F">
        <w:rPr>
          <w:rFonts w:ascii="Calibri" w:hAnsi="Calibri"/>
          <w:sz w:val="28"/>
          <w:szCs w:val="28"/>
        </w:rPr>
        <w:t xml:space="preserve"> an evolutionary perspective.</w:t>
      </w:r>
    </w:p>
    <w:p w14:paraId="4F898EA0" w14:textId="77777777" w:rsidR="000A32A3" w:rsidRPr="0008145F" w:rsidRDefault="000A32A3" w:rsidP="0008145F">
      <w:pPr>
        <w:ind w:left="270" w:hanging="270"/>
        <w:rPr>
          <w:rFonts w:ascii="Calibri" w:hAnsi="Calibri"/>
          <w:sz w:val="28"/>
          <w:szCs w:val="28"/>
        </w:rPr>
      </w:pPr>
    </w:p>
    <w:p w14:paraId="4F07F96C" w14:textId="77777777" w:rsidR="00653011" w:rsidRPr="00CD366A" w:rsidRDefault="00653011">
      <w:pPr>
        <w:rPr>
          <w:rFonts w:ascii="Calibri" w:hAnsi="Calibri"/>
          <w:b/>
          <w:bCs/>
          <w:sz w:val="28"/>
          <w:szCs w:val="28"/>
        </w:rPr>
      </w:pPr>
      <w:r w:rsidRPr="00CD366A">
        <w:rPr>
          <w:rFonts w:ascii="Calibri" w:hAnsi="Calibri"/>
          <w:b/>
          <w:bCs/>
          <w:sz w:val="28"/>
          <w:szCs w:val="28"/>
        </w:rPr>
        <w:t>Supporting Evidence Cited:</w:t>
      </w:r>
    </w:p>
    <w:p w14:paraId="4A85C407" w14:textId="73A4BACE" w:rsidR="00917E48" w:rsidRPr="0047787F" w:rsidRDefault="00917E48" w:rsidP="0047787F">
      <w:pPr>
        <w:pStyle w:val="ListParagraph"/>
        <w:numPr>
          <w:ilvl w:val="0"/>
          <w:numId w:val="1"/>
        </w:numPr>
        <w:ind w:left="360"/>
        <w:rPr>
          <w:rFonts w:ascii="Calibri" w:hAnsi="Calibri"/>
          <w:sz w:val="28"/>
          <w:szCs w:val="28"/>
        </w:rPr>
      </w:pPr>
      <w:r w:rsidRPr="0047787F">
        <w:rPr>
          <w:rFonts w:ascii="Calibri" w:hAnsi="Calibri"/>
          <w:sz w:val="28"/>
          <w:szCs w:val="28"/>
        </w:rPr>
        <w:t xml:space="preserve">Twin studies and family-based genetic analyses (e.g., heritability estimates for back pain). </w:t>
      </w:r>
    </w:p>
    <w:p w14:paraId="08BE1EA9" w14:textId="45CB5D20" w:rsidR="00917E48" w:rsidRPr="0047787F" w:rsidRDefault="00917E48" w:rsidP="0047787F">
      <w:pPr>
        <w:pStyle w:val="ListParagraph"/>
        <w:numPr>
          <w:ilvl w:val="0"/>
          <w:numId w:val="1"/>
        </w:numPr>
        <w:ind w:left="360"/>
        <w:rPr>
          <w:rFonts w:ascii="Calibri" w:hAnsi="Calibri"/>
          <w:sz w:val="28"/>
          <w:szCs w:val="28"/>
        </w:rPr>
      </w:pPr>
      <w:r w:rsidRPr="0047787F">
        <w:rPr>
          <w:rFonts w:ascii="Calibri" w:hAnsi="Calibri"/>
          <w:sz w:val="28"/>
          <w:szCs w:val="28"/>
        </w:rPr>
        <w:t xml:space="preserve">Epidemiological studies on </w:t>
      </w:r>
      <w:r w:rsidR="00E42BC7" w:rsidRPr="0047787F">
        <w:rPr>
          <w:rFonts w:ascii="Calibri" w:hAnsi="Calibri"/>
          <w:sz w:val="28"/>
          <w:szCs w:val="28"/>
        </w:rPr>
        <w:t>the prevalence of back pain</w:t>
      </w:r>
      <w:r w:rsidR="00982BC5" w:rsidRPr="0047787F">
        <w:rPr>
          <w:rFonts w:ascii="Calibri" w:hAnsi="Calibri"/>
          <w:sz w:val="28"/>
          <w:szCs w:val="28"/>
        </w:rPr>
        <w:t xml:space="preserve"> and risk factors </w:t>
      </w:r>
      <w:r w:rsidRPr="0047787F">
        <w:rPr>
          <w:rFonts w:ascii="Calibri" w:hAnsi="Calibri"/>
          <w:sz w:val="28"/>
          <w:szCs w:val="28"/>
        </w:rPr>
        <w:t xml:space="preserve">(e.g., occupational risk factors, lifestyle habits). </w:t>
      </w:r>
    </w:p>
    <w:p w14:paraId="4F07F974" w14:textId="2BD9F924" w:rsidR="00653011" w:rsidRPr="0047787F" w:rsidRDefault="00917E48" w:rsidP="0047787F">
      <w:pPr>
        <w:pStyle w:val="ListParagraph"/>
        <w:numPr>
          <w:ilvl w:val="0"/>
          <w:numId w:val="1"/>
        </w:numPr>
        <w:ind w:left="360"/>
        <w:rPr>
          <w:rFonts w:ascii="Calibri" w:hAnsi="Calibri"/>
          <w:b/>
          <w:bCs/>
          <w:sz w:val="28"/>
          <w:szCs w:val="28"/>
        </w:rPr>
      </w:pPr>
      <w:r w:rsidRPr="0047787F">
        <w:rPr>
          <w:rFonts w:ascii="Calibri" w:hAnsi="Calibri"/>
          <w:sz w:val="28"/>
          <w:szCs w:val="28"/>
        </w:rPr>
        <w:t>Reviews modern lifestyle factors, such as sedentary behavior, occupational hazards, and psychological stress.</w:t>
      </w:r>
    </w:p>
    <w:p w14:paraId="4F07F975" w14:textId="77777777" w:rsidR="00653011" w:rsidRPr="00CD366A" w:rsidRDefault="00653011">
      <w:pPr>
        <w:rPr>
          <w:rFonts w:ascii="Calibri" w:hAnsi="Calibri"/>
          <w:b/>
          <w:bCs/>
          <w:sz w:val="28"/>
          <w:szCs w:val="28"/>
        </w:rPr>
      </w:pPr>
    </w:p>
    <w:p w14:paraId="4F07F976" w14:textId="77777777" w:rsidR="00653011" w:rsidRPr="00CD366A" w:rsidRDefault="00653011">
      <w:pPr>
        <w:rPr>
          <w:rFonts w:ascii="Calibri" w:hAnsi="Calibri"/>
          <w:b/>
          <w:bCs/>
          <w:sz w:val="28"/>
          <w:szCs w:val="28"/>
        </w:rPr>
      </w:pPr>
      <w:r w:rsidRPr="00CD366A">
        <w:rPr>
          <w:rFonts w:ascii="Calibri" w:hAnsi="Calibri"/>
          <w:b/>
          <w:bCs/>
          <w:sz w:val="28"/>
          <w:szCs w:val="28"/>
        </w:rPr>
        <w:t>How this article relates to other articles read:</w:t>
      </w:r>
    </w:p>
    <w:p w14:paraId="4A48E54D" w14:textId="77777777" w:rsidR="006F0B7B" w:rsidRPr="006F0B7B" w:rsidRDefault="006F0B7B" w:rsidP="006F0B7B">
      <w:pPr>
        <w:rPr>
          <w:rFonts w:ascii="Calibri" w:hAnsi="Calibri"/>
          <w:sz w:val="28"/>
          <w:szCs w:val="28"/>
        </w:rPr>
      </w:pPr>
      <w:r w:rsidRPr="006F0B7B">
        <w:rPr>
          <w:rFonts w:ascii="Calibri" w:hAnsi="Calibri"/>
          <w:sz w:val="28"/>
          <w:szCs w:val="28"/>
        </w:rPr>
        <w:lastRenderedPageBreak/>
        <w:t>Farshad-Amacker et al. (2014) underscore that spinal degeneration arises from genetic, environmental, and biomechanical factors. This work ties into the broader evolutionary discussions provided by:</w:t>
      </w:r>
    </w:p>
    <w:p w14:paraId="699198A1" w14:textId="3FFE41F5" w:rsidR="006F0B7B" w:rsidRPr="006F0B7B" w:rsidRDefault="006F0B7B" w:rsidP="006F0B7B">
      <w:pPr>
        <w:numPr>
          <w:ilvl w:val="0"/>
          <w:numId w:val="2"/>
        </w:numPr>
        <w:rPr>
          <w:rFonts w:ascii="Calibri" w:hAnsi="Calibri"/>
          <w:sz w:val="28"/>
          <w:szCs w:val="28"/>
        </w:rPr>
      </w:pPr>
      <w:r w:rsidRPr="006F0B7B">
        <w:rPr>
          <w:rFonts w:ascii="Calibri" w:hAnsi="Calibri"/>
          <w:sz w:val="28"/>
          <w:szCs w:val="28"/>
        </w:rPr>
        <w:t>Johanson and Edgar (2010)</w:t>
      </w:r>
      <w:r>
        <w:rPr>
          <w:rFonts w:ascii="Calibri" w:hAnsi="Calibri"/>
          <w:sz w:val="28"/>
          <w:szCs w:val="28"/>
        </w:rPr>
        <w:t xml:space="preserve"> </w:t>
      </w:r>
      <w:r w:rsidRPr="006F0B7B">
        <w:rPr>
          <w:rFonts w:ascii="Calibri" w:hAnsi="Calibri"/>
          <w:sz w:val="28"/>
          <w:szCs w:val="28"/>
        </w:rPr>
        <w:t>offer an evolutionary timeline that explains how bipedalism and other traits developed, influencing the spinal structure we see today.</w:t>
      </w:r>
    </w:p>
    <w:p w14:paraId="11995AA4" w14:textId="4B23E987" w:rsidR="006F0B7B" w:rsidRPr="006F0B7B" w:rsidRDefault="006F0B7B" w:rsidP="006F0B7B">
      <w:pPr>
        <w:numPr>
          <w:ilvl w:val="0"/>
          <w:numId w:val="2"/>
        </w:numPr>
        <w:rPr>
          <w:rFonts w:ascii="Calibri" w:hAnsi="Calibri"/>
          <w:sz w:val="28"/>
          <w:szCs w:val="28"/>
        </w:rPr>
      </w:pPr>
      <w:r w:rsidRPr="006F0B7B">
        <w:rPr>
          <w:rFonts w:ascii="Calibri" w:hAnsi="Calibri"/>
          <w:sz w:val="28"/>
          <w:szCs w:val="28"/>
        </w:rPr>
        <w:t>Schilling et al. (2005)</w:t>
      </w:r>
      <w:r>
        <w:rPr>
          <w:rFonts w:ascii="Calibri" w:hAnsi="Calibri"/>
          <w:sz w:val="28"/>
          <w:szCs w:val="28"/>
        </w:rPr>
        <w:t xml:space="preserve"> </w:t>
      </w:r>
      <w:r w:rsidRPr="006F0B7B">
        <w:rPr>
          <w:rFonts w:ascii="Calibri" w:hAnsi="Calibri"/>
          <w:sz w:val="28"/>
          <w:szCs w:val="28"/>
        </w:rPr>
        <w:t>examine muscular and anatomical adaptations that may predispose humans to back pain, linking well with Farshad-Amacker et al.’s emphasis on mechanical stress and posture.</w:t>
      </w:r>
    </w:p>
    <w:p w14:paraId="43370C9C" w14:textId="3A2AF036" w:rsidR="006F0B7B" w:rsidRPr="006F0B7B" w:rsidRDefault="006F0B7B" w:rsidP="006F0B7B">
      <w:pPr>
        <w:numPr>
          <w:ilvl w:val="0"/>
          <w:numId w:val="2"/>
        </w:numPr>
        <w:rPr>
          <w:rFonts w:ascii="Calibri" w:hAnsi="Calibri"/>
          <w:sz w:val="28"/>
          <w:szCs w:val="28"/>
        </w:rPr>
      </w:pPr>
      <w:r w:rsidRPr="006F0B7B">
        <w:rPr>
          <w:rFonts w:ascii="Calibri" w:hAnsi="Calibri"/>
          <w:sz w:val="28"/>
          <w:szCs w:val="28"/>
        </w:rPr>
        <w:t>Lieberman (2013)</w:t>
      </w:r>
      <w:r>
        <w:rPr>
          <w:rFonts w:ascii="Calibri" w:hAnsi="Calibri"/>
          <w:sz w:val="28"/>
          <w:szCs w:val="28"/>
        </w:rPr>
        <w:t xml:space="preserve"> </w:t>
      </w:r>
      <w:r w:rsidRPr="006F0B7B">
        <w:rPr>
          <w:rFonts w:ascii="Calibri" w:hAnsi="Calibri"/>
          <w:sz w:val="28"/>
          <w:szCs w:val="28"/>
        </w:rPr>
        <w:t>describes the mismatch between our evolved anatomy and modern sedentary lifestyles, potentially exacerbating degenerative changes outlined in this article.</w:t>
      </w:r>
    </w:p>
    <w:p w14:paraId="4E228E47" w14:textId="77777777" w:rsidR="00347B20" w:rsidRDefault="00347B20">
      <w:pPr>
        <w:rPr>
          <w:rFonts w:ascii="Calibri" w:hAnsi="Calibri"/>
          <w:b/>
          <w:bCs/>
          <w:sz w:val="28"/>
          <w:szCs w:val="28"/>
        </w:rPr>
      </w:pPr>
    </w:p>
    <w:p w14:paraId="4F07F97B" w14:textId="77777777" w:rsidR="00653011" w:rsidRPr="00CD366A" w:rsidRDefault="00653011">
      <w:pPr>
        <w:rPr>
          <w:rFonts w:ascii="Calibri" w:hAnsi="Calibri"/>
          <w:b/>
          <w:bCs/>
          <w:sz w:val="28"/>
          <w:szCs w:val="28"/>
        </w:rPr>
      </w:pPr>
      <w:r w:rsidRPr="00CD366A">
        <w:rPr>
          <w:rFonts w:ascii="Calibri" w:hAnsi="Calibri"/>
          <w:b/>
          <w:bCs/>
          <w:sz w:val="28"/>
          <w:szCs w:val="28"/>
        </w:rPr>
        <w:t>Summary:</w:t>
      </w:r>
    </w:p>
    <w:p w14:paraId="4F07F987" w14:textId="7E7EFB5A" w:rsidR="00653011" w:rsidRDefault="00A1798D">
      <w:pPr>
        <w:rPr>
          <w:rFonts w:ascii="Calibri" w:hAnsi="Calibri"/>
          <w:sz w:val="28"/>
          <w:szCs w:val="28"/>
        </w:rPr>
      </w:pPr>
      <w:r w:rsidRPr="00A1798D">
        <w:rPr>
          <w:rFonts w:ascii="Calibri" w:hAnsi="Calibri"/>
          <w:sz w:val="28"/>
          <w:szCs w:val="28"/>
        </w:rPr>
        <w:t>Farshad-Amacker et al. (2014) investigate the determinants of endplate and disc degeneration in the lumbar spine, emphasizing the multifactorial nature of this condition. Their findings provide insights into the biological mechanisms underlying back pain and complement the evolutionary perspective on this prevalent health issue.</w:t>
      </w:r>
    </w:p>
    <w:p w14:paraId="0E1E4BAE" w14:textId="77777777" w:rsidR="00A1798D" w:rsidRPr="00CD366A" w:rsidRDefault="00A1798D">
      <w:pPr>
        <w:rPr>
          <w:rFonts w:ascii="Calibri" w:hAnsi="Calibri"/>
          <w:b/>
          <w:bCs/>
          <w:sz w:val="28"/>
          <w:szCs w:val="28"/>
        </w:rPr>
      </w:pPr>
    </w:p>
    <w:p w14:paraId="1442DA4F" w14:textId="77777777" w:rsidR="00A1798D" w:rsidRDefault="00653011" w:rsidP="00A1798D">
      <w:pPr>
        <w:rPr>
          <w:rFonts w:ascii="Calibri" w:hAnsi="Calibri"/>
          <w:b/>
          <w:bCs/>
          <w:sz w:val="28"/>
          <w:szCs w:val="28"/>
        </w:rPr>
      </w:pPr>
      <w:r w:rsidRPr="00CD366A">
        <w:rPr>
          <w:rFonts w:ascii="Calibri" w:hAnsi="Calibri"/>
          <w:b/>
          <w:bCs/>
          <w:sz w:val="28"/>
          <w:szCs w:val="28"/>
        </w:rPr>
        <w:t>Additional Notes:</w:t>
      </w:r>
    </w:p>
    <w:p w14:paraId="4F07F988" w14:textId="1AC1F584" w:rsidR="00653011" w:rsidRPr="00A1798D" w:rsidRDefault="00A1798D" w:rsidP="00A1798D">
      <w:pPr>
        <w:rPr>
          <w:rFonts w:ascii="Calibri" w:hAnsi="Calibri"/>
          <w:sz w:val="28"/>
          <w:szCs w:val="28"/>
        </w:rPr>
      </w:pPr>
      <w:r w:rsidRPr="00A1798D">
        <w:rPr>
          <w:rFonts w:ascii="Calibri" w:hAnsi="Calibri"/>
          <w:sz w:val="28"/>
          <w:szCs w:val="28"/>
        </w:rPr>
        <w:t>While this article does not directly address the evolutionary origins of back pain, it provides valuable information on the degenerative processes affecting the spine, which is relevant to the overall discussion. Further research is needed to explore the interaction between evolutionary predispositions and the factors identified in this study to gain a more comprehensive understanding of back pain.</w:t>
      </w:r>
    </w:p>
    <w:p w14:paraId="0E186AF8" w14:textId="77777777" w:rsidR="00A1798D" w:rsidRDefault="00A1798D" w:rsidP="00A1798D">
      <w:pPr>
        <w:rPr>
          <w:rFonts w:ascii="Calibri" w:hAnsi="Calibri"/>
          <w:b/>
          <w:bCs/>
          <w:sz w:val="28"/>
          <w:szCs w:val="28"/>
        </w:rPr>
      </w:pPr>
    </w:p>
    <w:sectPr w:rsidR="00A1798D" w:rsidSect="00653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B7444"/>
    <w:multiLevelType w:val="hybridMultilevel"/>
    <w:tmpl w:val="4248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66099D"/>
    <w:multiLevelType w:val="multilevel"/>
    <w:tmpl w:val="EC2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948318">
    <w:abstractNumId w:val="0"/>
  </w:num>
  <w:num w:numId="2" w16cid:durableId="1485588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EC"/>
    <w:rsid w:val="0008145F"/>
    <w:rsid w:val="000A32A3"/>
    <w:rsid w:val="000C7250"/>
    <w:rsid w:val="000F1804"/>
    <w:rsid w:val="001238D4"/>
    <w:rsid w:val="00284C5D"/>
    <w:rsid w:val="00347B20"/>
    <w:rsid w:val="0047787F"/>
    <w:rsid w:val="006153E8"/>
    <w:rsid w:val="00653011"/>
    <w:rsid w:val="006E6D99"/>
    <w:rsid w:val="006F0B7B"/>
    <w:rsid w:val="00917E48"/>
    <w:rsid w:val="00946280"/>
    <w:rsid w:val="00982BC5"/>
    <w:rsid w:val="00A11CC5"/>
    <w:rsid w:val="00A1798D"/>
    <w:rsid w:val="00A57988"/>
    <w:rsid w:val="00A73F16"/>
    <w:rsid w:val="00AC26C2"/>
    <w:rsid w:val="00BA74E0"/>
    <w:rsid w:val="00CD366A"/>
    <w:rsid w:val="00CF45F8"/>
    <w:rsid w:val="00D81DBB"/>
    <w:rsid w:val="00E247EC"/>
    <w:rsid w:val="00E42BC7"/>
    <w:rsid w:val="00FB131F"/>
    <w:rsid w:val="00FB2620"/>
    <w:rsid w:val="00FB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7F944"/>
  <w15:chartTrackingRefBased/>
  <w15:docId w15:val="{16FB7E91-CD43-4141-9B8D-39DF65AC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87F"/>
    <w:pPr>
      <w:ind w:left="720"/>
      <w:contextualSpacing/>
    </w:pPr>
  </w:style>
  <w:style w:type="character" w:styleId="Hyperlink">
    <w:name w:val="Hyperlink"/>
    <w:basedOn w:val="DefaultParagraphFont"/>
    <w:uiPriority w:val="99"/>
    <w:unhideWhenUsed/>
    <w:rsid w:val="000F1804"/>
    <w:rPr>
      <w:color w:val="0563C1" w:themeColor="hyperlink"/>
      <w:u w:val="single"/>
    </w:rPr>
  </w:style>
  <w:style w:type="character" w:styleId="UnresolvedMention">
    <w:name w:val="Unresolved Mention"/>
    <w:basedOn w:val="DefaultParagraphFont"/>
    <w:uiPriority w:val="99"/>
    <w:semiHidden/>
    <w:unhideWhenUsed/>
    <w:rsid w:val="000F1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257196">
      <w:bodyDiv w:val="1"/>
      <w:marLeft w:val="0"/>
      <w:marRight w:val="0"/>
      <w:marTop w:val="0"/>
      <w:marBottom w:val="0"/>
      <w:divBdr>
        <w:top w:val="none" w:sz="0" w:space="0" w:color="auto"/>
        <w:left w:val="none" w:sz="0" w:space="0" w:color="auto"/>
        <w:bottom w:val="none" w:sz="0" w:space="0" w:color="auto"/>
        <w:right w:val="none" w:sz="0" w:space="0" w:color="auto"/>
      </w:divBdr>
    </w:div>
    <w:div w:id="400443859">
      <w:bodyDiv w:val="1"/>
      <w:marLeft w:val="0"/>
      <w:marRight w:val="0"/>
      <w:marTop w:val="0"/>
      <w:marBottom w:val="0"/>
      <w:divBdr>
        <w:top w:val="none" w:sz="0" w:space="0" w:color="auto"/>
        <w:left w:val="none" w:sz="0" w:space="0" w:color="auto"/>
        <w:bottom w:val="none" w:sz="0" w:space="0" w:color="auto"/>
        <w:right w:val="none" w:sz="0" w:space="0" w:color="auto"/>
      </w:divBdr>
    </w:div>
    <w:div w:id="592277202">
      <w:bodyDiv w:val="1"/>
      <w:marLeft w:val="0"/>
      <w:marRight w:val="0"/>
      <w:marTop w:val="0"/>
      <w:marBottom w:val="0"/>
      <w:divBdr>
        <w:top w:val="none" w:sz="0" w:space="0" w:color="auto"/>
        <w:left w:val="none" w:sz="0" w:space="0" w:color="auto"/>
        <w:bottom w:val="none" w:sz="0" w:space="0" w:color="auto"/>
        <w:right w:val="none" w:sz="0" w:space="0" w:color="auto"/>
      </w:divBdr>
    </w:div>
    <w:div w:id="669411936">
      <w:bodyDiv w:val="1"/>
      <w:marLeft w:val="0"/>
      <w:marRight w:val="0"/>
      <w:marTop w:val="0"/>
      <w:marBottom w:val="0"/>
      <w:divBdr>
        <w:top w:val="none" w:sz="0" w:space="0" w:color="auto"/>
        <w:left w:val="none" w:sz="0" w:space="0" w:color="auto"/>
        <w:bottom w:val="none" w:sz="0" w:space="0" w:color="auto"/>
        <w:right w:val="none" w:sz="0" w:space="0" w:color="auto"/>
      </w:divBdr>
    </w:div>
    <w:div w:id="1312826140">
      <w:bodyDiv w:val="1"/>
      <w:marLeft w:val="0"/>
      <w:marRight w:val="0"/>
      <w:marTop w:val="0"/>
      <w:marBottom w:val="0"/>
      <w:divBdr>
        <w:top w:val="none" w:sz="0" w:space="0" w:color="auto"/>
        <w:left w:val="none" w:sz="0" w:space="0" w:color="auto"/>
        <w:bottom w:val="none" w:sz="0" w:space="0" w:color="auto"/>
        <w:right w:val="none" w:sz="0" w:space="0" w:color="auto"/>
      </w:divBdr>
    </w:div>
    <w:div w:id="1558129864">
      <w:bodyDiv w:val="1"/>
      <w:marLeft w:val="0"/>
      <w:marRight w:val="0"/>
      <w:marTop w:val="0"/>
      <w:marBottom w:val="0"/>
      <w:divBdr>
        <w:top w:val="none" w:sz="0" w:space="0" w:color="auto"/>
        <w:left w:val="none" w:sz="0" w:space="0" w:color="auto"/>
        <w:bottom w:val="none" w:sz="0" w:space="0" w:color="auto"/>
        <w:right w:val="none" w:sz="0" w:space="0" w:color="auto"/>
      </w:divBdr>
    </w:div>
    <w:div w:id="1588730180">
      <w:bodyDiv w:val="1"/>
      <w:marLeft w:val="0"/>
      <w:marRight w:val="0"/>
      <w:marTop w:val="0"/>
      <w:marBottom w:val="0"/>
      <w:divBdr>
        <w:top w:val="none" w:sz="0" w:space="0" w:color="auto"/>
        <w:left w:val="none" w:sz="0" w:space="0" w:color="auto"/>
        <w:bottom w:val="none" w:sz="0" w:space="0" w:color="auto"/>
        <w:right w:val="none" w:sz="0" w:space="0" w:color="auto"/>
      </w:divBdr>
    </w:div>
    <w:div w:id="1675063342">
      <w:bodyDiv w:val="1"/>
      <w:marLeft w:val="0"/>
      <w:marRight w:val="0"/>
      <w:marTop w:val="0"/>
      <w:marBottom w:val="0"/>
      <w:divBdr>
        <w:top w:val="none" w:sz="0" w:space="0" w:color="auto"/>
        <w:left w:val="none" w:sz="0" w:space="0" w:color="auto"/>
        <w:bottom w:val="none" w:sz="0" w:space="0" w:color="auto"/>
        <w:right w:val="none" w:sz="0" w:space="0" w:color="auto"/>
      </w:divBdr>
    </w:div>
    <w:div w:id="1742097512">
      <w:bodyDiv w:val="1"/>
      <w:marLeft w:val="0"/>
      <w:marRight w:val="0"/>
      <w:marTop w:val="0"/>
      <w:marBottom w:val="0"/>
      <w:divBdr>
        <w:top w:val="none" w:sz="0" w:space="0" w:color="auto"/>
        <w:left w:val="none" w:sz="0" w:space="0" w:color="auto"/>
        <w:bottom w:val="none" w:sz="0" w:space="0" w:color="auto"/>
        <w:right w:val="none" w:sz="0" w:space="0" w:color="auto"/>
      </w:divBdr>
    </w:div>
    <w:div w:id="1921720078">
      <w:bodyDiv w:val="1"/>
      <w:marLeft w:val="0"/>
      <w:marRight w:val="0"/>
      <w:marTop w:val="0"/>
      <w:marBottom w:val="0"/>
      <w:divBdr>
        <w:top w:val="none" w:sz="0" w:space="0" w:color="auto"/>
        <w:left w:val="none" w:sz="0" w:space="0" w:color="auto"/>
        <w:bottom w:val="none" w:sz="0" w:space="0" w:color="auto"/>
        <w:right w:val="none" w:sz="0" w:space="0" w:color="auto"/>
      </w:divBdr>
    </w:div>
    <w:div w:id="1962757338">
      <w:bodyDiv w:val="1"/>
      <w:marLeft w:val="0"/>
      <w:marRight w:val="0"/>
      <w:marTop w:val="0"/>
      <w:marBottom w:val="0"/>
      <w:divBdr>
        <w:top w:val="none" w:sz="0" w:space="0" w:color="auto"/>
        <w:left w:val="none" w:sz="0" w:space="0" w:color="auto"/>
        <w:bottom w:val="none" w:sz="0" w:space="0" w:color="auto"/>
        <w:right w:val="none" w:sz="0" w:space="0" w:color="auto"/>
      </w:divBdr>
    </w:div>
    <w:div w:id="212299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423</Words>
  <Characters>2684</Characters>
  <Application>Microsoft Office Word</Application>
  <DocSecurity>0</DocSecurity>
  <Lines>55</Lines>
  <Paragraphs>23</Paragraphs>
  <ScaleCrop>false</ScaleCrop>
  <HeadingPairs>
    <vt:vector size="2" baseType="variant">
      <vt:variant>
        <vt:lpstr>Title</vt:lpstr>
      </vt:variant>
      <vt:variant>
        <vt:i4>1</vt:i4>
      </vt:variant>
    </vt:vector>
  </HeadingPairs>
  <TitlesOfParts>
    <vt:vector size="1" baseType="lpstr">
      <vt:lpstr>Readings Worksheet</vt:lpstr>
    </vt:vector>
  </TitlesOfParts>
  <Company>University of Denver</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Readings Worksheet</dc:title>
  <dc:subject/>
  <dc:creator>Karin's</dc:creator>
  <cp:keywords/>
  <cp:lastModifiedBy>Josh Manchester</cp:lastModifiedBy>
  <cp:revision>21</cp:revision>
  <dcterms:created xsi:type="dcterms:W3CDTF">2016-08-17T02:26:00Z</dcterms:created>
  <dcterms:modified xsi:type="dcterms:W3CDTF">2025-01-12T22:59:00Z</dcterms:modified>
</cp:coreProperties>
</file>