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721A93" w14:textId="0015CCF8" w:rsidR="007658AC" w:rsidRPr="00A64930" w:rsidRDefault="007658AC">
      <w:pPr>
        <w:rPr>
          <w:rFonts w:ascii="Arial" w:hAnsi="Arial" w:cs="Arial"/>
          <w:sz w:val="24"/>
          <w:szCs w:val="24"/>
        </w:rPr>
      </w:pPr>
      <w:r w:rsidRPr="00A64930">
        <w:rPr>
          <w:rFonts w:ascii="Arial" w:hAnsi="Arial" w:cs="Arial"/>
          <w:sz w:val="24"/>
          <w:szCs w:val="24"/>
        </w:rPr>
        <w:t xml:space="preserve">1. The classes represented </w:t>
      </w:r>
      <w:r w:rsidR="00A64930" w:rsidRPr="00A64930">
        <w:rPr>
          <w:rFonts w:ascii="Arial" w:hAnsi="Arial" w:cs="Arial"/>
          <w:sz w:val="24"/>
          <w:szCs w:val="24"/>
        </w:rPr>
        <w:t>on the website range from</w:t>
      </w:r>
      <w:r w:rsidRPr="00A64930">
        <w:rPr>
          <w:rFonts w:ascii="Arial" w:hAnsi="Arial" w:cs="Arial"/>
          <w:sz w:val="24"/>
          <w:szCs w:val="24"/>
        </w:rPr>
        <w:t xml:space="preserve"> non-working lower class to lower-middle class.  I based this on income and perceived education levels based on the types of jobs the families and individuals had</w:t>
      </w:r>
      <w:r w:rsidR="005C446C" w:rsidRPr="00A64930">
        <w:rPr>
          <w:rFonts w:ascii="Arial" w:hAnsi="Arial" w:cs="Arial"/>
          <w:sz w:val="24"/>
          <w:szCs w:val="24"/>
        </w:rPr>
        <w:t xml:space="preserve">.  People with annual incomes of $150,000 to no income, education levels from drop-outs to college degrees </w:t>
      </w:r>
      <w:r w:rsidR="00A64930" w:rsidRPr="00A64930">
        <w:rPr>
          <w:rFonts w:ascii="Arial" w:hAnsi="Arial" w:cs="Arial"/>
          <w:sz w:val="24"/>
          <w:szCs w:val="24"/>
        </w:rPr>
        <w:t xml:space="preserve">are typical of the range of lower class to upper-middle class </w:t>
      </w:r>
      <w:r w:rsidR="005C446C" w:rsidRPr="00A64930">
        <w:rPr>
          <w:rFonts w:ascii="Arial" w:hAnsi="Arial" w:cs="Arial"/>
          <w:sz w:val="24"/>
          <w:szCs w:val="24"/>
        </w:rPr>
        <w:t>(OpenStax 2016:191-192)</w:t>
      </w:r>
      <w:r w:rsidRPr="00A64930">
        <w:rPr>
          <w:rFonts w:ascii="Arial" w:hAnsi="Arial" w:cs="Arial"/>
          <w:sz w:val="24"/>
          <w:szCs w:val="24"/>
        </w:rPr>
        <w:t>.</w:t>
      </w:r>
    </w:p>
    <w:p w14:paraId="4F127E16" w14:textId="76B6F097" w:rsidR="007658AC" w:rsidRPr="00A64930" w:rsidRDefault="007658AC">
      <w:pPr>
        <w:rPr>
          <w:rFonts w:ascii="Arial" w:hAnsi="Arial" w:cs="Arial"/>
          <w:sz w:val="24"/>
          <w:szCs w:val="24"/>
        </w:rPr>
      </w:pPr>
      <w:r w:rsidRPr="00A64930">
        <w:rPr>
          <w:rFonts w:ascii="Arial" w:hAnsi="Arial" w:cs="Arial"/>
          <w:sz w:val="24"/>
          <w:szCs w:val="24"/>
        </w:rPr>
        <w:t>2.  The realities of the different classes were evident in the pictures.  Seeing the different neighborhoods, they lived in and the possessions each family had told a lot about their different classes.  The aspirations of each family were different based on their class also.  Some wanted to get a car while others wanted to get a vacation home, but most wanted to own their own home.  In each case they wanted to better their lives in some way.  Education seemed to be a big player in the difference in incomes, those with good jobs had an education past high school.  It was also evident that ethnicity played in part in social class, most notably, the lower class were more likely to not be white</w:t>
      </w:r>
      <w:r w:rsidR="005C446C" w:rsidRPr="00A64930">
        <w:rPr>
          <w:rFonts w:ascii="Arial" w:hAnsi="Arial" w:cs="Arial"/>
          <w:sz w:val="24"/>
          <w:szCs w:val="24"/>
        </w:rPr>
        <w:t xml:space="preserve"> (OpenStax 2016:191-192)</w:t>
      </w:r>
      <w:r w:rsidRPr="00A64930">
        <w:rPr>
          <w:rFonts w:ascii="Arial" w:hAnsi="Arial" w:cs="Arial"/>
          <w:sz w:val="24"/>
          <w:szCs w:val="24"/>
        </w:rPr>
        <w:t>.</w:t>
      </w:r>
    </w:p>
    <w:p w14:paraId="6C5802A7" w14:textId="56532D07" w:rsidR="007658AC" w:rsidRPr="00A64930" w:rsidRDefault="007658AC">
      <w:pPr>
        <w:rPr>
          <w:rFonts w:ascii="Arial" w:hAnsi="Arial" w:cs="Arial"/>
          <w:sz w:val="24"/>
          <w:szCs w:val="24"/>
        </w:rPr>
      </w:pPr>
      <w:r w:rsidRPr="00A64930">
        <w:rPr>
          <w:rFonts w:ascii="Arial" w:hAnsi="Arial" w:cs="Arial"/>
          <w:sz w:val="24"/>
          <w:szCs w:val="24"/>
        </w:rPr>
        <w:t xml:space="preserve">3.  The upper-middle class and up were not represented here.  </w:t>
      </w:r>
      <w:r w:rsidR="00023AC9" w:rsidRPr="00A64930">
        <w:rPr>
          <w:rFonts w:ascii="Arial" w:hAnsi="Arial" w:cs="Arial"/>
          <w:sz w:val="24"/>
          <w:szCs w:val="24"/>
        </w:rPr>
        <w:t>In my opinion, upper class families would not like to be shown on a website that portrays the lower classes and the poor of the world.  They may see it as embarrassing or beneath them.</w:t>
      </w:r>
    </w:p>
    <w:p w14:paraId="05992F96" w14:textId="206388E7" w:rsidR="00190427" w:rsidRPr="00A64930" w:rsidRDefault="006F3610">
      <w:pPr>
        <w:rPr>
          <w:rFonts w:ascii="Arial" w:hAnsi="Arial" w:cs="Arial"/>
          <w:sz w:val="24"/>
          <w:szCs w:val="24"/>
        </w:rPr>
      </w:pPr>
      <w:r w:rsidRPr="00A64930">
        <w:rPr>
          <w:rFonts w:ascii="Arial" w:hAnsi="Arial" w:cs="Arial"/>
          <w:sz w:val="24"/>
          <w:szCs w:val="24"/>
        </w:rPr>
        <w:t xml:space="preserve">4. </w:t>
      </w:r>
      <w:r w:rsidR="00190427" w:rsidRPr="00A64930">
        <w:rPr>
          <w:rFonts w:ascii="Arial" w:hAnsi="Arial" w:cs="Arial"/>
          <w:sz w:val="24"/>
          <w:szCs w:val="24"/>
        </w:rPr>
        <w:t>Social classes do not seem to have changed much from the 50s when compared to today.  There are still three classes in the US but today we commonly refer to the sub-classes, especially the lower and upper middle classes</w:t>
      </w:r>
      <w:r w:rsidR="005C446C" w:rsidRPr="00A64930">
        <w:rPr>
          <w:rFonts w:ascii="Arial" w:hAnsi="Arial" w:cs="Arial"/>
          <w:sz w:val="24"/>
          <w:szCs w:val="24"/>
        </w:rPr>
        <w:t xml:space="preserve"> (OpenStax 2016:19)</w:t>
      </w:r>
      <w:r w:rsidR="00190427" w:rsidRPr="00A64930">
        <w:rPr>
          <w:rFonts w:ascii="Arial" w:hAnsi="Arial" w:cs="Arial"/>
          <w:sz w:val="24"/>
          <w:szCs w:val="24"/>
        </w:rPr>
        <w:t>.  The video portrayed social class as more of a matter of fact thing that should be accepted as such</w:t>
      </w:r>
      <w:r w:rsidR="005C446C" w:rsidRPr="00A64930">
        <w:rPr>
          <w:rFonts w:ascii="Arial" w:hAnsi="Arial" w:cs="Arial"/>
          <w:sz w:val="24"/>
          <w:szCs w:val="24"/>
        </w:rPr>
        <w:t xml:space="preserve"> with not much Upward Mobility (OpenStax 2016:193)</w:t>
      </w:r>
      <w:r w:rsidR="00190427" w:rsidRPr="00A64930">
        <w:rPr>
          <w:rFonts w:ascii="Arial" w:hAnsi="Arial" w:cs="Arial"/>
          <w:sz w:val="24"/>
          <w:szCs w:val="24"/>
        </w:rPr>
        <w:t>.  The website shows social class as it is.  The website portrays social class as something tangible that is not hidden away and out of sight.</w:t>
      </w:r>
      <w:r w:rsidR="005C446C" w:rsidRPr="00A64930">
        <w:rPr>
          <w:rFonts w:ascii="Arial" w:hAnsi="Arial" w:cs="Arial"/>
          <w:sz w:val="24"/>
          <w:szCs w:val="24"/>
        </w:rPr>
        <w:t xml:space="preserve">  Each family had a dream of upward mobility </w:t>
      </w:r>
      <w:r w:rsidR="00397747" w:rsidRPr="00A64930">
        <w:rPr>
          <w:rFonts w:ascii="Arial" w:hAnsi="Arial" w:cs="Arial"/>
          <w:sz w:val="24"/>
          <w:szCs w:val="24"/>
        </w:rPr>
        <w:t>which could lead to their children achieving a new social class as in intergenerational mobility (OpenStax 2016:193)</w:t>
      </w:r>
    </w:p>
    <w:p w14:paraId="73364CEF" w14:textId="5F6500D6" w:rsidR="00190427" w:rsidRPr="00A64930" w:rsidRDefault="00190427">
      <w:pPr>
        <w:rPr>
          <w:rFonts w:ascii="Arial" w:hAnsi="Arial" w:cs="Arial"/>
          <w:sz w:val="24"/>
          <w:szCs w:val="24"/>
        </w:rPr>
      </w:pPr>
      <w:r w:rsidRPr="00A64930">
        <w:rPr>
          <w:rFonts w:ascii="Arial" w:hAnsi="Arial" w:cs="Arial"/>
          <w:sz w:val="24"/>
          <w:szCs w:val="24"/>
        </w:rPr>
        <w:t xml:space="preserve">5. </w:t>
      </w:r>
      <w:r w:rsidR="00603095" w:rsidRPr="00A64930">
        <w:rPr>
          <w:rFonts w:ascii="Arial" w:hAnsi="Arial" w:cs="Arial"/>
          <w:sz w:val="24"/>
          <w:szCs w:val="24"/>
        </w:rPr>
        <w:t xml:space="preserve"> It has already been shown that the current pandemic is creating a downward mobility (OpenStax 2016:193) caused mainly in part by the massive loss of jobs in the middle class and to a greater extent in the lower classes.  As with any disaster, recovery is inevitable but it will take years if not the next decade for that recovery to happen.  Since the pandemic is spread person to person, those businesses that rely on direct patronage, that is the business requires customers to visit an establishment, are the hardest hit.  Especially when governments direct the shutdown of those businesses.  </w:t>
      </w:r>
      <w:r w:rsidR="00023AC9" w:rsidRPr="00A64930">
        <w:rPr>
          <w:rFonts w:ascii="Arial" w:hAnsi="Arial" w:cs="Arial"/>
          <w:sz w:val="24"/>
          <w:szCs w:val="24"/>
        </w:rPr>
        <w:t>So,</w:t>
      </w:r>
      <w:r w:rsidR="00603095" w:rsidRPr="00A64930">
        <w:rPr>
          <w:rFonts w:ascii="Arial" w:hAnsi="Arial" w:cs="Arial"/>
          <w:sz w:val="24"/>
          <w:szCs w:val="24"/>
        </w:rPr>
        <w:t xml:space="preserve"> businesses like Costco, </w:t>
      </w:r>
      <w:r w:rsidR="00023AC9" w:rsidRPr="00A64930">
        <w:rPr>
          <w:rFonts w:ascii="Arial" w:hAnsi="Arial" w:cs="Arial"/>
          <w:sz w:val="24"/>
          <w:szCs w:val="24"/>
        </w:rPr>
        <w:t>Lowes, and Home Depot, whose stores double as warehouses, will lose business.  Small businesses that rely on local patronage will most likely go bankrupt d</w:t>
      </w:r>
      <w:r w:rsidR="00397747" w:rsidRPr="00A64930">
        <w:rPr>
          <w:rFonts w:ascii="Arial" w:hAnsi="Arial" w:cs="Arial"/>
          <w:sz w:val="24"/>
          <w:szCs w:val="24"/>
        </w:rPr>
        <w:t>ue</w:t>
      </w:r>
      <w:r w:rsidR="00023AC9" w:rsidRPr="00A64930">
        <w:rPr>
          <w:rFonts w:ascii="Arial" w:hAnsi="Arial" w:cs="Arial"/>
          <w:sz w:val="24"/>
          <w:szCs w:val="24"/>
        </w:rPr>
        <w:t xml:space="preserve"> to forced shuttering. Businesses that have a </w:t>
      </w:r>
      <w:r w:rsidR="005C446C" w:rsidRPr="00A64930">
        <w:rPr>
          <w:rFonts w:ascii="Arial" w:hAnsi="Arial" w:cs="Arial"/>
          <w:sz w:val="24"/>
          <w:szCs w:val="24"/>
        </w:rPr>
        <w:t>well-established</w:t>
      </w:r>
      <w:r w:rsidR="00023AC9" w:rsidRPr="00A64930">
        <w:rPr>
          <w:rFonts w:ascii="Arial" w:hAnsi="Arial" w:cs="Arial"/>
          <w:sz w:val="24"/>
          <w:szCs w:val="24"/>
        </w:rPr>
        <w:t xml:space="preserve"> online presence will most likely flourish as they see an influx of customers that have shifted their spending habits to online shopping.</w:t>
      </w:r>
    </w:p>
    <w:p w14:paraId="40DDFB2B" w14:textId="778573C4" w:rsidR="00A64930" w:rsidRPr="00A64930" w:rsidRDefault="00A64930">
      <w:pPr>
        <w:rPr>
          <w:rFonts w:ascii="Arial" w:hAnsi="Arial" w:cs="Arial"/>
          <w:sz w:val="24"/>
          <w:szCs w:val="24"/>
        </w:rPr>
      </w:pPr>
      <w:r w:rsidRPr="00A64930">
        <w:rPr>
          <w:rFonts w:ascii="Arial" w:hAnsi="Arial" w:cs="Arial"/>
          <w:sz w:val="24"/>
          <w:szCs w:val="24"/>
        </w:rPr>
        <w:t>Works Cited</w:t>
      </w:r>
    </w:p>
    <w:p w14:paraId="2B8E9263" w14:textId="02FFB08C" w:rsidR="00A64930" w:rsidRPr="00A64930" w:rsidRDefault="00A64930" w:rsidP="00A64930">
      <w:pPr>
        <w:pStyle w:val="NormalWeb"/>
        <w:shd w:val="clear" w:color="auto" w:fill="FFFFFF"/>
        <w:spacing w:before="120" w:beforeAutospacing="0" w:after="240" w:afterAutospacing="0"/>
        <w:rPr>
          <w:rFonts w:ascii="Arial" w:hAnsi="Arial" w:cs="Arial"/>
          <w:color w:val="494C4E"/>
          <w:spacing w:val="3"/>
        </w:rPr>
      </w:pPr>
      <w:r>
        <w:rPr>
          <w:rFonts w:ascii="Arial" w:hAnsi="Arial" w:cs="Arial"/>
          <w:color w:val="494C4E"/>
          <w:spacing w:val="3"/>
        </w:rPr>
        <w:lastRenderedPageBreak/>
        <w:t>Dollar Street</w:t>
      </w:r>
      <w:r w:rsidRPr="00A64930">
        <w:rPr>
          <w:rFonts w:ascii="Arial" w:hAnsi="Arial" w:cs="Arial"/>
          <w:color w:val="494C4E"/>
          <w:spacing w:val="3"/>
        </w:rPr>
        <w:t>, Accessed October 1</w:t>
      </w:r>
      <w:r>
        <w:rPr>
          <w:rFonts w:ascii="Arial" w:hAnsi="Arial" w:cs="Arial"/>
          <w:color w:val="494C4E"/>
          <w:spacing w:val="3"/>
        </w:rPr>
        <w:t>9</w:t>
      </w:r>
      <w:r w:rsidRPr="00A64930">
        <w:rPr>
          <w:rFonts w:ascii="Arial" w:hAnsi="Arial" w:cs="Arial"/>
          <w:color w:val="494C4E"/>
          <w:spacing w:val="3"/>
        </w:rPr>
        <w:t>, 2020, https://www.gapminder.org/dollar-street/about</w:t>
      </w:r>
    </w:p>
    <w:p w14:paraId="17929A1D" w14:textId="77777777" w:rsidR="00A64930" w:rsidRPr="00A64930" w:rsidRDefault="00A64930" w:rsidP="00A64930">
      <w:pPr>
        <w:pStyle w:val="NormalWeb"/>
        <w:shd w:val="clear" w:color="auto" w:fill="FFFFFF"/>
        <w:spacing w:before="0" w:beforeAutospacing="0" w:after="0" w:afterAutospacing="0"/>
        <w:rPr>
          <w:rFonts w:ascii="Arial" w:hAnsi="Arial" w:cs="Arial"/>
          <w:color w:val="494C4E"/>
          <w:spacing w:val="3"/>
        </w:rPr>
      </w:pPr>
      <w:r w:rsidRPr="00A64930">
        <w:rPr>
          <w:rFonts w:ascii="Arial" w:hAnsi="Arial" w:cs="Arial"/>
          <w:color w:val="494C4E"/>
          <w:spacing w:val="3"/>
        </w:rPr>
        <w:t>OpenStax. 2017. </w:t>
      </w:r>
      <w:r w:rsidRPr="00A64930">
        <w:rPr>
          <w:rFonts w:ascii="Arial" w:hAnsi="Arial" w:cs="Arial"/>
          <w:i/>
          <w:iCs/>
          <w:color w:val="494C4E"/>
          <w:spacing w:val="3"/>
          <w:bdr w:val="none" w:sz="0" w:space="0" w:color="auto" w:frame="1"/>
        </w:rPr>
        <w:t>Introduction to Sociology 2e</w:t>
      </w:r>
      <w:r w:rsidRPr="00A64930">
        <w:rPr>
          <w:rFonts w:ascii="Arial" w:hAnsi="Arial" w:cs="Arial"/>
          <w:color w:val="494C4E"/>
          <w:spacing w:val="3"/>
        </w:rPr>
        <w:t>. Houston: Rice University</w:t>
      </w:r>
    </w:p>
    <w:p w14:paraId="55B72A00" w14:textId="77777777" w:rsidR="00A64930" w:rsidRPr="00A64930" w:rsidRDefault="00A64930">
      <w:pPr>
        <w:rPr>
          <w:rFonts w:ascii="Arial" w:hAnsi="Arial" w:cs="Arial"/>
          <w:sz w:val="24"/>
          <w:szCs w:val="24"/>
        </w:rPr>
      </w:pPr>
    </w:p>
    <w:sectPr w:rsidR="00A64930" w:rsidRPr="00A64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8AC"/>
    <w:rsid w:val="00023AC9"/>
    <w:rsid w:val="00190427"/>
    <w:rsid w:val="0024770D"/>
    <w:rsid w:val="00397747"/>
    <w:rsid w:val="005C446C"/>
    <w:rsid w:val="00603095"/>
    <w:rsid w:val="006F3610"/>
    <w:rsid w:val="007658AC"/>
    <w:rsid w:val="00A64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517FEDC"/>
  <w15:chartTrackingRefBased/>
  <w15:docId w15:val="{F8EA3F8A-136A-4103-9EBC-D02CE8A3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49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470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5</cp:revision>
  <dcterms:created xsi:type="dcterms:W3CDTF">2020-10-19T18:14:00Z</dcterms:created>
  <dcterms:modified xsi:type="dcterms:W3CDTF">2020-10-19T19:22:00Z</dcterms:modified>
</cp:coreProperties>
</file>