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240" w:before="240" w:line="276"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Pr>
        <w:drawing>
          <wp:inline distB="114300" distT="114300" distL="114300" distR="114300">
            <wp:extent cx="4903859" cy="5395913"/>
            <wp:effectExtent b="0" l="0" r="0" t="0"/>
            <wp:docPr id="8"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4903859" cy="5395913"/>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240" w:before="240"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Figure S1. Comparison of RAF (rate of amyloid formation) between lymphoid and skeletal muscle tissues. </w:t>
      </w:r>
      <w:r w:rsidDel="00000000" w:rsidR="00000000" w:rsidRPr="00000000">
        <w:rPr>
          <w:rFonts w:ascii="Times New Roman" w:cs="Times New Roman" w:eastAsia="Times New Roman" w:hAnsi="Times New Roman"/>
          <w:highlight w:val="white"/>
          <w:rtl w:val="0"/>
        </w:rPr>
        <w:t xml:space="preserve">a. RAF of 10% lymphoid tissue homogenates was plotted against dilution factors ranging from 1 to 9. The RT-QuIC experiment was set at 45°C. 8 replicates were conducted for all dilutions. b. The average of RAF from dilutions in A) with dilution factors ranging from 2-6 was fitted on a linear model. Equation and R^2 values are indicated. RAF for neck muscle samples from animal 333 and 360 processed using the freeze-thaw method and normalized to the lymphoid tissue used in a) were plotted.</w:t>
      </w:r>
    </w:p>
    <w:p w:rsidR="00000000" w:rsidDel="00000000" w:rsidP="00000000" w:rsidRDefault="00000000" w:rsidRPr="00000000" w14:paraId="00000003">
      <w:pPr>
        <w:spacing w:after="240" w:before="240"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u w:val="single"/>
          <w:rtl w:val="0"/>
        </w:rPr>
        <w:t xml:space="preserve">Result: </w:t>
      </w:r>
      <w:r w:rsidDel="00000000" w:rsidR="00000000" w:rsidRPr="00000000">
        <w:rPr>
          <w:rFonts w:ascii="Times New Roman" w:cs="Times New Roman" w:eastAsia="Times New Roman" w:hAnsi="Times New Roman"/>
          <w:highlight w:val="white"/>
          <w:rtl w:val="0"/>
        </w:rPr>
        <w:t xml:space="preserve">Prion load using muscles processed by the freeze-thaw method based on RAF from RT-QuIC results is equivalent to 10</w:t>
      </w:r>
      <w:r w:rsidDel="00000000" w:rsidR="00000000" w:rsidRPr="00000000">
        <w:rPr>
          <w:rFonts w:ascii="Times New Roman" w:cs="Times New Roman" w:eastAsia="Times New Roman" w:hAnsi="Times New Roman"/>
          <w:highlight w:val="white"/>
          <w:vertAlign w:val="superscript"/>
          <w:rtl w:val="0"/>
        </w:rPr>
        <w:t xml:space="preserve">-6</w:t>
      </w:r>
      <w:r w:rsidDel="00000000" w:rsidR="00000000" w:rsidRPr="00000000">
        <w:rPr>
          <w:rFonts w:ascii="Times New Roman" w:cs="Times New Roman" w:eastAsia="Times New Roman" w:hAnsi="Times New Roman"/>
          <w:highlight w:val="white"/>
          <w:rtl w:val="0"/>
        </w:rPr>
        <w:t xml:space="preserve">~10</w:t>
      </w:r>
      <w:r w:rsidDel="00000000" w:rsidR="00000000" w:rsidRPr="00000000">
        <w:rPr>
          <w:rFonts w:ascii="Times New Roman" w:cs="Times New Roman" w:eastAsia="Times New Roman" w:hAnsi="Times New Roman"/>
          <w:highlight w:val="white"/>
          <w:vertAlign w:val="superscript"/>
          <w:rtl w:val="0"/>
        </w:rPr>
        <w:t xml:space="preserve">-7</w:t>
      </w:r>
      <w:r w:rsidDel="00000000" w:rsidR="00000000" w:rsidRPr="00000000">
        <w:rPr>
          <w:rFonts w:ascii="Times New Roman" w:cs="Times New Roman" w:eastAsia="Times New Roman" w:hAnsi="Times New Roman"/>
          <w:highlight w:val="white"/>
          <w:rtl w:val="0"/>
        </w:rPr>
        <w:t xml:space="preserve"> (2/1000 * 10/2 * 10 * 10</w:t>
      </w:r>
      <w:r w:rsidDel="00000000" w:rsidR="00000000" w:rsidRPr="00000000">
        <w:rPr>
          <w:rFonts w:ascii="Times New Roman" w:cs="Times New Roman" w:eastAsia="Times New Roman" w:hAnsi="Times New Roman"/>
          <w:highlight w:val="white"/>
          <w:vertAlign w:val="superscript"/>
          <w:rtl w:val="0"/>
        </w:rPr>
        <w:t xml:space="preserve">-5</w:t>
      </w:r>
      <w:r w:rsidDel="00000000" w:rsidR="00000000" w:rsidRPr="00000000">
        <w:rPr>
          <w:rFonts w:ascii="Times New Roman" w:cs="Times New Roman" w:eastAsia="Times New Roman" w:hAnsi="Times New Roman"/>
          <w:highlight w:val="white"/>
          <w:rtl w:val="0"/>
        </w:rPr>
        <w:t xml:space="preserve">~10</w:t>
      </w:r>
      <w:r w:rsidDel="00000000" w:rsidR="00000000" w:rsidRPr="00000000">
        <w:rPr>
          <w:rFonts w:ascii="Times New Roman" w:cs="Times New Roman" w:eastAsia="Times New Roman" w:hAnsi="Times New Roman"/>
          <w:highlight w:val="white"/>
          <w:vertAlign w:val="superscript"/>
          <w:rtl w:val="0"/>
        </w:rPr>
        <w:t xml:space="preserve">-6</w:t>
      </w:r>
      <w:r w:rsidDel="00000000" w:rsidR="00000000" w:rsidRPr="00000000">
        <w:rPr>
          <w:rFonts w:ascii="Times New Roman" w:cs="Times New Roman" w:eastAsia="Times New Roman" w:hAnsi="Times New Roman"/>
          <w:highlight w:val="white"/>
          <w:rtl w:val="0"/>
        </w:rPr>
        <w:t xml:space="preserve">) that of lymphoid tissues, the RAF of which is 10 times lower than the brain. Therefore, in our study, the lymphoid/muscle ratio is  10</w:t>
      </w:r>
      <w:r w:rsidDel="00000000" w:rsidR="00000000" w:rsidRPr="00000000">
        <w:rPr>
          <w:rFonts w:ascii="Times New Roman" w:cs="Times New Roman" w:eastAsia="Times New Roman" w:hAnsi="Times New Roman"/>
          <w:highlight w:val="white"/>
          <w:vertAlign w:val="superscript"/>
          <w:rtl w:val="0"/>
        </w:rPr>
        <w:t xml:space="preserve">6</w:t>
      </w:r>
      <w:r w:rsidDel="00000000" w:rsidR="00000000" w:rsidRPr="00000000">
        <w:rPr>
          <w:rFonts w:ascii="Times New Roman" w:cs="Times New Roman" w:eastAsia="Times New Roman" w:hAnsi="Times New Roman"/>
          <w:highlight w:val="white"/>
          <w:rtl w:val="0"/>
        </w:rPr>
        <w:t xml:space="preserve">~10</w:t>
      </w:r>
      <w:r w:rsidDel="00000000" w:rsidR="00000000" w:rsidRPr="00000000">
        <w:rPr>
          <w:rFonts w:ascii="Times New Roman" w:cs="Times New Roman" w:eastAsia="Times New Roman" w:hAnsi="Times New Roman"/>
          <w:highlight w:val="white"/>
          <w:vertAlign w:val="superscript"/>
          <w:rtl w:val="0"/>
        </w:rPr>
        <w:t xml:space="preserve">7</w:t>
      </w:r>
      <w:r w:rsidDel="00000000" w:rsidR="00000000" w:rsidRPr="00000000">
        <w:rPr>
          <w:rFonts w:ascii="Times New Roman" w:cs="Times New Roman" w:eastAsia="Times New Roman" w:hAnsi="Times New Roman"/>
          <w:highlight w:val="white"/>
          <w:rtl w:val="0"/>
        </w:rPr>
        <w:t xml:space="preserve"> and the calculated brain/muscle ratio is 10</w:t>
      </w:r>
      <w:r w:rsidDel="00000000" w:rsidR="00000000" w:rsidRPr="00000000">
        <w:rPr>
          <w:rFonts w:ascii="Times New Roman" w:cs="Times New Roman" w:eastAsia="Times New Roman" w:hAnsi="Times New Roman"/>
          <w:highlight w:val="white"/>
          <w:vertAlign w:val="superscript"/>
          <w:rtl w:val="0"/>
        </w:rPr>
        <w:t xml:space="preserve">5</w:t>
      </w:r>
      <w:r w:rsidDel="00000000" w:rsidR="00000000" w:rsidRPr="00000000">
        <w:rPr>
          <w:rFonts w:ascii="Times New Roman" w:cs="Times New Roman" w:eastAsia="Times New Roman" w:hAnsi="Times New Roman"/>
          <w:highlight w:val="white"/>
          <w:rtl w:val="0"/>
        </w:rPr>
        <w:t xml:space="preserve">~10</w:t>
      </w:r>
      <w:r w:rsidDel="00000000" w:rsidR="00000000" w:rsidRPr="00000000">
        <w:rPr>
          <w:rFonts w:ascii="Times New Roman" w:cs="Times New Roman" w:eastAsia="Times New Roman" w:hAnsi="Times New Roman"/>
          <w:highlight w:val="white"/>
          <w:vertAlign w:val="superscript"/>
          <w:rtl w:val="0"/>
        </w:rPr>
        <w:t xml:space="preserve">6</w:t>
      </w:r>
      <w:r w:rsidDel="00000000" w:rsidR="00000000" w:rsidRPr="00000000">
        <w:rPr>
          <w:rFonts w:ascii="Times New Roman" w:cs="Times New Roman" w:eastAsia="Times New Roman" w:hAnsi="Times New Roman"/>
          <w:highlight w:val="white"/>
          <w:rtl w:val="0"/>
        </w:rPr>
        <w:t xml:space="preserve">. This is 100 to 1000 times lower than the brain/muscle ratio of 10</w:t>
      </w:r>
      <w:r w:rsidDel="00000000" w:rsidR="00000000" w:rsidRPr="00000000">
        <w:rPr>
          <w:rFonts w:ascii="Times New Roman" w:cs="Times New Roman" w:eastAsia="Times New Roman" w:hAnsi="Times New Roman"/>
          <w:highlight w:val="white"/>
          <w:vertAlign w:val="superscript"/>
          <w:rtl w:val="0"/>
        </w:rPr>
        <w:t xml:space="preserve">3</w:t>
      </w:r>
      <w:r w:rsidDel="00000000" w:rsidR="00000000" w:rsidRPr="00000000">
        <w:rPr>
          <w:rFonts w:ascii="Times New Roman" w:cs="Times New Roman" w:eastAsia="Times New Roman" w:hAnsi="Times New Roman"/>
          <w:highlight w:val="white"/>
          <w:rtl w:val="0"/>
        </w:rPr>
        <w:t xml:space="preserve"> reported by Bosque et al.</w:t>
      </w:r>
    </w:p>
    <w:p w:rsidR="00000000" w:rsidDel="00000000" w:rsidP="00000000" w:rsidRDefault="00000000" w:rsidRPr="00000000" w14:paraId="00000004">
      <w:pPr>
        <w:spacing w:after="240" w:before="240"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Pr>
        <w:drawing>
          <wp:inline distB="114300" distT="114300" distL="114300" distR="114300">
            <wp:extent cx="5943600" cy="2794000"/>
            <wp:effectExtent b="0" l="0" r="0" t="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27940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spacing w:after="240" w:before="240"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b w:val="1"/>
          <w:highlight w:val="white"/>
          <w:rtl w:val="0"/>
        </w:rPr>
        <w:t xml:space="preserve">Figure S2. Collagenase A-processed samples need to be diluted to facilitate prion-seeding activity detection in RT-QuIC.</w:t>
      </w:r>
      <w:r w:rsidDel="00000000" w:rsidR="00000000" w:rsidRPr="00000000">
        <w:rPr>
          <w:rFonts w:ascii="Times New Roman" w:cs="Times New Roman" w:eastAsia="Times New Roman" w:hAnsi="Times New Roman"/>
          <w:highlight w:val="white"/>
          <w:rtl w:val="0"/>
        </w:rPr>
        <w:t xml:space="preserve"> A subset of samples with undiluted final suspension and that diluted to 10^-1 were tested on the same plate.</w:t>
      </w:r>
    </w:p>
    <w:p w:rsidR="00000000" w:rsidDel="00000000" w:rsidP="00000000" w:rsidRDefault="00000000" w:rsidRPr="00000000" w14:paraId="00000006">
      <w:pPr>
        <w:spacing w:line="276" w:lineRule="auto"/>
        <w:rPr>
          <w:rFonts w:ascii="Times New Roman" w:cs="Times New Roman" w:eastAsia="Times New Roman" w:hAnsi="Times New Roman"/>
          <w:highlight w:val="white"/>
        </w:rPr>
      </w:pPr>
      <w:r w:rsidDel="00000000" w:rsidR="00000000" w:rsidRPr="00000000">
        <w:br w:type="page"/>
      </w:r>
      <w:r w:rsidDel="00000000" w:rsidR="00000000" w:rsidRPr="00000000">
        <w:rPr>
          <w:rtl w:val="0"/>
        </w:rPr>
      </w:r>
    </w:p>
    <w:p w:rsidR="00000000" w:rsidDel="00000000" w:rsidP="00000000" w:rsidRDefault="00000000" w:rsidRPr="00000000" w14:paraId="00000007">
      <w:pPr>
        <w:spacing w:after="120" w:before="240"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Pr>
        <w:drawing>
          <wp:inline distB="0" distT="0" distL="0" distR="0">
            <wp:extent cx="4686300" cy="2705100"/>
            <wp:effectExtent b="0" l="0" r="0" t="0"/>
            <wp:docPr id="1"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46863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after="240" w:before="240" w:line="276"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Figure S3. Collagenase A processing does not produce significant RT-QuIC false positives for neck muscles. </w:t>
      </w:r>
      <w:r w:rsidDel="00000000" w:rsidR="00000000" w:rsidRPr="00000000">
        <w:br w:type="page"/>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594100"/>
            <wp:effectExtent b="0" l="0" r="0" t="0"/>
            <wp:docPr id="6"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43600" cy="35941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 S4. Elbow plot visualizing the standard deviation of each principal component.</w:t>
      </w:r>
    </w:p>
    <w:p w:rsidR="00000000" w:rsidDel="00000000" w:rsidP="00000000" w:rsidRDefault="00000000" w:rsidRPr="00000000" w14:paraId="0000000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7429500"/>
            <wp:effectExtent b="0" l="0" r="0" t="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943600" cy="7429500"/>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S5. BRETIGEA scoring cell clusters. </w:t>
      </w:r>
      <w:r w:rsidDel="00000000" w:rsidR="00000000" w:rsidRPr="00000000">
        <w:rPr>
          <w:rFonts w:ascii="Times New Roman" w:cs="Times New Roman" w:eastAsia="Times New Roman" w:hAnsi="Times New Roman"/>
          <w:rtl w:val="0"/>
        </w:rPr>
        <w:t xml:space="preserve">Neu.score1, BRETIGEA score for neurons; ast.score1, BRETIGEA score for astrocytes; mic.score1, BRETIGEA score for microglia; oli.score1, BRETIGEA score for oligodendrocytes; opc.score1, BRETIGEA score for oligodendrocyte progenitor cells; end.score1, BRETIGEA score for endothelial cells.</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810000"/>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S6. </w:t>
      </w:r>
      <w:r w:rsidDel="00000000" w:rsidR="00000000" w:rsidRPr="00000000">
        <w:rPr>
          <w:rFonts w:ascii="Times New Roman" w:cs="Times New Roman" w:eastAsia="Times New Roman" w:hAnsi="Times New Roman"/>
          <w:rtl w:val="0"/>
        </w:rPr>
        <w:t xml:space="preserve">(A) Classification by the K-nearest neighbors algorithm. (B) Classification by grouped replicates. (C) Classification by phenotype. Ct, control. </w:t>
      </w:r>
      <w:r w:rsidDel="00000000" w:rsidR="00000000" w:rsidRPr="00000000">
        <w:rPr>
          <w:rFonts w:ascii="Times New Roman" w:cs="Times New Roman" w:eastAsia="Times New Roman" w:hAnsi="Times New Roman"/>
          <w:rtl w:val="0"/>
        </w:rPr>
        <w:t xml:space="preserve">(D) A cell type-specific comparison of the cell composition between control and AD entorhinal cortex</w:t>
      </w:r>
      <w:r w:rsidDel="00000000" w:rsidR="00000000" w:rsidRPr="00000000">
        <w:rPr>
          <w:rFonts w:ascii="Times New Roman" w:cs="Times New Roman" w:eastAsia="Times New Roman" w:hAnsi="Times New Roman"/>
          <w:rtl w:val="0"/>
        </w:rPr>
        <w:t xml:space="preserve">. Two-tailed Wilcoxon signed-rank test was used. Relative proportion = number of cells expressing gene target for each cell type per biological replicate/number of cells in the cell type per biological replicate. (E) Expression of differentially expressed NPs in neurons using the gene list by Smith et al. </w:t>
      </w:r>
      <w:r w:rsidDel="00000000" w:rsidR="00000000" w:rsidRPr="00000000">
        <w:br w:type="page"/>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76600"/>
            <wp:effectExtent b="0" l="0" r="0" t="0"/>
            <wp:docPr id="4"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3276600"/>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S7.</w:t>
      </w:r>
      <w:r w:rsidDel="00000000" w:rsidR="00000000" w:rsidRPr="00000000">
        <w:rPr>
          <w:rFonts w:ascii="Times New Roman" w:cs="Times New Roman" w:eastAsia="Times New Roman" w:hAnsi="Times New Roman"/>
          <w:rtl w:val="0"/>
        </w:rPr>
        <w:t xml:space="preserve"> (A) Differentially expressed neuropeptide (NP) genes in astrocytes, microglia, oligodendrocytes, and oligodendrocyte progenitor cells (OPCs). Ct, control. (B) The total relative count of all selected NPs plotted against the cell percentile ranked by decreasing cell count in selected cell types in control and AD. (C) Cell type-specific heatmaps showing the G protein-coupled receptor genes expressed by significantly changed (One-tailed Wilcoxon signed-rank test, p&lt;0.1) proportions of cells for each grouped biological replicate. Genes expressed only in one grouped replicate were excluded. Relative proportion = number of cells expressing gene target for each cell type per biological replicate/number of cells in the cell type per biological replicate.</w:t>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416300"/>
            <wp:effectExtent b="0" l="0" r="0" t="0"/>
            <wp:docPr id="7"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341630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 S8.</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rtl w:val="0"/>
        </w:rPr>
        <w:t xml:space="preserve">Significant correlation between the sum of the relative number transcripts from GAD (glutamate dehydrogenase) genes and the number of coexpressed NPs shown in both control and AD EC cells. </w:t>
      </w:r>
      <w:r w:rsidDel="00000000" w:rsidR="00000000" w:rsidRPr="00000000">
        <w:rPr>
          <w:rFonts w:ascii="Times New Roman" w:cs="Times New Roman" w:eastAsia="Times New Roman" w:hAnsi="Times New Roman"/>
          <w:rtl w:val="0"/>
        </w:rPr>
        <w:t xml:space="preserve">Pearson's test of correlation was used. r, correlation coefficient. </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914900"/>
            <wp:effectExtent b="0" l="0" r="0" t="0"/>
            <wp:docPr id="3"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4914900"/>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Figure S9.</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721100"/>
            <wp:effectExtent b="0" l="0" r="0" t="0"/>
            <wp:docPr id="1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Figure S10.</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10.png"/><Relationship Id="rId13" Type="http://schemas.openxmlformats.org/officeDocument/2006/relationships/image" Target="media/image5.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7.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